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9F2B" w14:textId="77777777" w:rsidR="00321873" w:rsidRPr="00321873" w:rsidRDefault="00321873" w:rsidP="00321873">
      <w:pPr>
        <w:jc w:val="center"/>
        <w:rPr>
          <w:rFonts w:eastAsia="Aptos" w:cs="Arial"/>
          <w:color w:val="637B94"/>
          <w:sz w:val="48"/>
          <w:szCs w:val="48"/>
          <w:lang w:eastAsia="ja-JP"/>
        </w:rPr>
      </w:pPr>
    </w:p>
    <w:p w14:paraId="6F6E2B15" w14:textId="77777777" w:rsidR="00321873" w:rsidRPr="00321873" w:rsidRDefault="00321873" w:rsidP="00321873">
      <w:pPr>
        <w:jc w:val="center"/>
        <w:rPr>
          <w:rFonts w:eastAsia="Aptos" w:cs="Arial"/>
          <w:color w:val="637B94"/>
          <w:sz w:val="48"/>
          <w:szCs w:val="48"/>
          <w:lang w:eastAsia="ja-JP"/>
        </w:rPr>
      </w:pPr>
    </w:p>
    <w:p w14:paraId="7077A535" w14:textId="77777777" w:rsidR="00321873" w:rsidRPr="00321873" w:rsidRDefault="00321873" w:rsidP="00FA7C9D">
      <w:pPr>
        <w:contextualSpacing/>
        <w:jc w:val="center"/>
        <w:rPr>
          <w:rFonts w:eastAsia="Aptos" w:cs="Arial"/>
          <w:sz w:val="48"/>
          <w:szCs w:val="48"/>
          <w:lang w:eastAsia="ja-JP"/>
        </w:rPr>
      </w:pPr>
      <w:r w:rsidRPr="00321873">
        <w:rPr>
          <w:rFonts w:eastAsia="Aptos" w:cs="Arial"/>
          <w:sz w:val="48"/>
          <w:szCs w:val="48"/>
          <w:lang w:eastAsia="ja-JP"/>
        </w:rPr>
        <w:t xml:space="preserve">Sample ERM Board Submission with Dashboard Report Template </w:t>
      </w:r>
    </w:p>
    <w:p w14:paraId="3909E7B4" w14:textId="77777777" w:rsidR="00321873" w:rsidRPr="00321873" w:rsidRDefault="00321873" w:rsidP="00FA7C9D">
      <w:pPr>
        <w:contextualSpacing/>
        <w:jc w:val="center"/>
        <w:rPr>
          <w:rFonts w:eastAsia="Aptos" w:cs="Arial"/>
          <w:sz w:val="48"/>
          <w:szCs w:val="48"/>
          <w:lang w:eastAsia="ja-JP"/>
        </w:rPr>
      </w:pPr>
      <w:r w:rsidRPr="00321873">
        <w:rPr>
          <w:rFonts w:eastAsia="Aptos" w:cs="Arial"/>
          <w:sz w:val="48"/>
          <w:szCs w:val="48"/>
          <w:lang w:eastAsia="ja-JP"/>
        </w:rPr>
        <w:t xml:space="preserve">for Small and Medium-Sized </w:t>
      </w:r>
    </w:p>
    <w:p w14:paraId="4C0AAB33" w14:textId="77777777" w:rsidR="00321873" w:rsidRPr="00321873" w:rsidRDefault="00321873" w:rsidP="00FA7C9D">
      <w:pPr>
        <w:contextualSpacing/>
        <w:jc w:val="center"/>
        <w:rPr>
          <w:rFonts w:eastAsia="Aptos" w:cs="Arial"/>
          <w:sz w:val="48"/>
          <w:szCs w:val="48"/>
          <w:lang w:eastAsia="ja-JP"/>
        </w:rPr>
      </w:pPr>
      <w:r w:rsidRPr="00321873">
        <w:rPr>
          <w:rFonts w:eastAsia="Aptos" w:cs="Arial"/>
          <w:sz w:val="48"/>
          <w:szCs w:val="48"/>
          <w:lang w:eastAsia="ja-JP"/>
        </w:rPr>
        <w:t>BC School Districts</w:t>
      </w:r>
    </w:p>
    <w:p w14:paraId="50568FF4" w14:textId="77777777" w:rsidR="00321873" w:rsidRPr="00321873" w:rsidRDefault="00321873" w:rsidP="00321873">
      <w:pPr>
        <w:jc w:val="center"/>
        <w:rPr>
          <w:rFonts w:eastAsiaTheme="minorEastAsia" w:cs="Arial"/>
          <w:sz w:val="24"/>
          <w:szCs w:val="32"/>
          <w:lang w:eastAsia="ja-JP"/>
        </w:rPr>
      </w:pPr>
      <w:r w:rsidRPr="00321873">
        <w:rPr>
          <w:rFonts w:eastAsiaTheme="minorEastAsia" w:cs="Arial"/>
          <w:sz w:val="24"/>
          <w:szCs w:val="32"/>
          <w:lang w:eastAsia="ja-JP"/>
        </w:rPr>
        <w:t>Companion to the ERM Framework Template, November 2025</w:t>
      </w:r>
    </w:p>
    <w:p w14:paraId="23DD67F9" w14:textId="77777777" w:rsidR="00321873" w:rsidRPr="00321873" w:rsidRDefault="00321873" w:rsidP="00321873">
      <w:pPr>
        <w:rPr>
          <w:rFonts w:eastAsiaTheme="minorEastAsia" w:cs="Arial"/>
          <w:lang w:eastAsia="ja-JP"/>
        </w:rPr>
      </w:pPr>
    </w:p>
    <w:p w14:paraId="7FEA773F" w14:textId="77777777" w:rsidR="00321873" w:rsidRPr="00321873" w:rsidRDefault="00321873" w:rsidP="00321873">
      <w:pPr>
        <w:rPr>
          <w:rFonts w:eastAsiaTheme="minorEastAsia" w:cs="Arial"/>
          <w:lang w:eastAsia="ja-JP"/>
        </w:rPr>
      </w:pPr>
    </w:p>
    <w:p w14:paraId="60EDAA24" w14:textId="77777777" w:rsidR="00321873" w:rsidRPr="00321873" w:rsidRDefault="00321873" w:rsidP="00321873">
      <w:pPr>
        <w:rPr>
          <w:rFonts w:eastAsiaTheme="minorEastAsia" w:cs="Arial"/>
          <w:lang w:eastAsia="ja-JP"/>
        </w:rPr>
      </w:pPr>
    </w:p>
    <w:p w14:paraId="18A50378" w14:textId="77777777" w:rsidR="00321873" w:rsidRPr="00321873" w:rsidRDefault="00321873" w:rsidP="00321873">
      <w:pPr>
        <w:rPr>
          <w:rFonts w:eastAsiaTheme="minorEastAsia" w:cs="Arial"/>
          <w:lang w:eastAsia="ja-JP"/>
        </w:rPr>
      </w:pPr>
    </w:p>
    <w:p w14:paraId="0D82C4A6" w14:textId="77777777" w:rsidR="00321873" w:rsidRPr="00321873" w:rsidRDefault="00321873" w:rsidP="00321873">
      <w:pPr>
        <w:rPr>
          <w:rFonts w:eastAsiaTheme="minorEastAsia" w:cs="Arial"/>
          <w:lang w:eastAsia="ja-JP"/>
        </w:rPr>
      </w:pPr>
    </w:p>
    <w:p w14:paraId="6CBED4AA" w14:textId="77777777" w:rsidR="00321873" w:rsidRPr="00321873" w:rsidRDefault="00321873" w:rsidP="00321873">
      <w:pPr>
        <w:rPr>
          <w:rFonts w:eastAsiaTheme="minorEastAsia" w:cs="Arial"/>
          <w:lang w:eastAsia="ja-JP"/>
        </w:rPr>
      </w:pPr>
    </w:p>
    <w:p w14:paraId="6FF17F15" w14:textId="77777777" w:rsidR="00321873" w:rsidRPr="00321873" w:rsidRDefault="00321873" w:rsidP="00321873">
      <w:pPr>
        <w:rPr>
          <w:rFonts w:eastAsiaTheme="minorEastAsia" w:cs="Arial"/>
          <w:lang w:eastAsia="ja-JP"/>
        </w:rPr>
      </w:pPr>
    </w:p>
    <w:p w14:paraId="1EA53640" w14:textId="77777777" w:rsidR="00321873" w:rsidRPr="00321873" w:rsidRDefault="00321873" w:rsidP="00321873">
      <w:pPr>
        <w:rPr>
          <w:rFonts w:eastAsiaTheme="minorEastAsia" w:cs="Arial"/>
          <w:lang w:eastAsia="ja-JP"/>
        </w:rPr>
      </w:pPr>
    </w:p>
    <w:p w14:paraId="431F0533" w14:textId="77777777" w:rsidR="00321873" w:rsidRPr="00321873" w:rsidRDefault="00321873" w:rsidP="00321873">
      <w:pPr>
        <w:rPr>
          <w:rFonts w:eastAsiaTheme="minorEastAsia" w:cs="Arial"/>
          <w:lang w:eastAsia="ja-JP"/>
        </w:rPr>
      </w:pPr>
    </w:p>
    <w:p w14:paraId="1817481A" w14:textId="77777777" w:rsidR="00321873" w:rsidRPr="00321873" w:rsidRDefault="00321873" w:rsidP="00321873">
      <w:pPr>
        <w:rPr>
          <w:rFonts w:eastAsiaTheme="minorEastAsia" w:cs="Arial"/>
          <w:lang w:eastAsia="ja-JP"/>
        </w:rPr>
      </w:pPr>
    </w:p>
    <w:p w14:paraId="5035C75D" w14:textId="77777777" w:rsidR="00321873" w:rsidRPr="00321873" w:rsidRDefault="00321873" w:rsidP="00321873">
      <w:pPr>
        <w:rPr>
          <w:rFonts w:eastAsiaTheme="minorEastAsia" w:cs="Arial"/>
          <w:lang w:eastAsia="ja-JP"/>
        </w:rPr>
      </w:pPr>
    </w:p>
    <w:p w14:paraId="3A2E2449" w14:textId="77777777" w:rsidR="00321873" w:rsidRPr="00321873" w:rsidRDefault="00321873" w:rsidP="00321873">
      <w:pPr>
        <w:rPr>
          <w:rFonts w:eastAsiaTheme="minorEastAsia" w:cs="Arial"/>
          <w:lang w:eastAsia="ja-JP"/>
        </w:rPr>
      </w:pPr>
    </w:p>
    <w:p w14:paraId="1732D4C5" w14:textId="77777777" w:rsidR="00321873" w:rsidRPr="00321873" w:rsidRDefault="00321873" w:rsidP="00321873">
      <w:pPr>
        <w:rPr>
          <w:rFonts w:eastAsiaTheme="minorEastAsia" w:cs="Arial"/>
          <w:lang w:eastAsia="ja-JP"/>
        </w:rPr>
      </w:pPr>
    </w:p>
    <w:p w14:paraId="141951A7" w14:textId="77777777" w:rsidR="00321873" w:rsidRPr="00321873" w:rsidRDefault="00321873" w:rsidP="00321873">
      <w:pPr>
        <w:ind w:left="567" w:right="571"/>
        <w:jc w:val="center"/>
        <w:rPr>
          <w:rFonts w:eastAsiaTheme="minorEastAsia" w:cs="Arial"/>
          <w:b/>
          <w:bCs/>
          <w:u w:val="single"/>
          <w:lang w:eastAsia="ja-JP"/>
        </w:rPr>
      </w:pPr>
      <w:r w:rsidRPr="00321873">
        <w:rPr>
          <w:rFonts w:eastAsiaTheme="minorEastAsia" w:cs="Arial"/>
          <w:b/>
          <w:bCs/>
          <w:u w:val="single"/>
          <w:lang w:eastAsia="ja-JP"/>
        </w:rPr>
        <w:t>About This Sample Template</w:t>
      </w:r>
    </w:p>
    <w:p w14:paraId="2A5E1D1B" w14:textId="77777777" w:rsidR="00321873" w:rsidRPr="00321873" w:rsidRDefault="00321873" w:rsidP="00321873">
      <w:pPr>
        <w:ind w:left="567" w:right="571"/>
        <w:jc w:val="center"/>
        <w:rPr>
          <w:rFonts w:eastAsiaTheme="minorEastAsia" w:cs="Arial"/>
          <w:lang w:eastAsia="ja-JP"/>
        </w:rPr>
      </w:pPr>
      <w:r w:rsidRPr="00321873">
        <w:rPr>
          <w:rFonts w:eastAsiaTheme="minorEastAsia" w:cs="Arial"/>
          <w:lang w:eastAsia="ja-JP"/>
        </w:rPr>
        <w:t>This Guide was developed by the BCASBO ERM Advisory Committee with expert support from Upside ERM Solutions Inc.</w:t>
      </w:r>
    </w:p>
    <w:p w14:paraId="778F5971" w14:textId="77777777" w:rsidR="00321873" w:rsidRPr="00321873" w:rsidRDefault="00321873" w:rsidP="00321873">
      <w:pPr>
        <w:ind w:left="567" w:right="571"/>
        <w:jc w:val="center"/>
        <w:rPr>
          <w:rFonts w:eastAsiaTheme="minorEastAsia" w:cs="Arial"/>
          <w:lang w:eastAsia="ja-JP"/>
        </w:rPr>
      </w:pPr>
      <w:r w:rsidRPr="00321873">
        <w:rPr>
          <w:rFonts w:eastAsiaTheme="minorEastAsia" w:cs="Arial"/>
          <w:lang w:eastAsia="ja-JP"/>
        </w:rPr>
        <w:t>Its content draws on the results of the 2025 provincial ERM surveys of school districts, a review of resources provided by the Ministry of Finance, and a review of Office of the Auditor General (OAG) reports related to planning, governance, and risk management.</w:t>
      </w:r>
    </w:p>
    <w:p w14:paraId="51672C93" w14:textId="18F1E810" w:rsidR="00321873" w:rsidRDefault="00321873" w:rsidP="00321873">
      <w:pPr>
        <w:ind w:left="567" w:right="571"/>
        <w:jc w:val="center"/>
        <w:rPr>
          <w:rFonts w:eastAsiaTheme="minorEastAsia" w:cs="Arial"/>
          <w:lang w:eastAsia="ja-JP"/>
        </w:rPr>
      </w:pPr>
      <w:r w:rsidRPr="00321873">
        <w:rPr>
          <w:rFonts w:eastAsiaTheme="minorEastAsia" w:cs="Arial"/>
          <w:lang w:eastAsia="ja-JP"/>
        </w:rPr>
        <w:t>The goal is to provide a practical, evidence-informed resource that supports small and medium-sized school districts in building practical, sustainable, and scalable risk management practices aligned with their strategic and operational goals.</w:t>
      </w:r>
    </w:p>
    <w:p w14:paraId="13607021" w14:textId="77777777" w:rsidR="00321873" w:rsidRDefault="00321873">
      <w:pPr>
        <w:rPr>
          <w:rFonts w:eastAsiaTheme="minorEastAsia" w:cs="Arial"/>
          <w:lang w:eastAsia="ja-JP"/>
        </w:rPr>
      </w:pPr>
      <w:r>
        <w:rPr>
          <w:rFonts w:eastAsiaTheme="minorEastAsia" w:cs="Arial"/>
          <w:lang w:eastAsia="ja-JP"/>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2D5" w:themeFill="accent2" w:themeFillTint="33"/>
        <w:tblLook w:val="04A0" w:firstRow="1" w:lastRow="0" w:firstColumn="1" w:lastColumn="0" w:noHBand="0" w:noVBand="1"/>
      </w:tblPr>
      <w:tblGrid>
        <w:gridCol w:w="9325"/>
      </w:tblGrid>
      <w:tr w:rsidR="00321873" w14:paraId="1780099C" w14:textId="77777777" w:rsidTr="00321873">
        <w:trPr>
          <w:trHeight w:val="12721"/>
        </w:trPr>
        <w:tc>
          <w:tcPr>
            <w:tcW w:w="9325" w:type="dxa"/>
            <w:shd w:val="clear" w:color="auto" w:fill="FAE2D5" w:themeFill="accent2" w:themeFillTint="33"/>
          </w:tcPr>
          <w:p w14:paraId="7533096C"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Style w:val="eop"/>
                <w:rFonts w:ascii="Arial" w:eastAsiaTheme="majorEastAsia" w:hAnsi="Arial" w:cs="Arial"/>
                <w:sz w:val="20"/>
                <w:szCs w:val="20"/>
              </w:rPr>
            </w:pPr>
            <w:r w:rsidRPr="00321873">
              <w:rPr>
                <w:rStyle w:val="normaltextrun"/>
                <w:rFonts w:ascii="Arial" w:eastAsiaTheme="majorEastAsia" w:hAnsi="Arial" w:cs="Arial"/>
                <w:b/>
                <w:bCs/>
                <w:sz w:val="20"/>
                <w:szCs w:val="20"/>
                <w:lang w:val="en-US"/>
              </w:rPr>
              <w:lastRenderedPageBreak/>
              <w:t>About This Template (Delete Before Adopting)</w:t>
            </w:r>
          </w:p>
          <w:p w14:paraId="41FD7B41"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sz w:val="20"/>
                <w:szCs w:val="20"/>
              </w:rPr>
            </w:pPr>
          </w:p>
          <w:p w14:paraId="346E52BE"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Style w:val="normaltextrun"/>
                <w:rFonts w:ascii="Arial" w:eastAsiaTheme="majorEastAsia" w:hAnsi="Arial" w:cs="Arial"/>
                <w:sz w:val="20"/>
                <w:szCs w:val="20"/>
                <w:lang w:val="en-US"/>
              </w:rPr>
            </w:pPr>
            <w:r w:rsidRPr="00321873">
              <w:rPr>
                <w:rStyle w:val="normaltextrun"/>
                <w:rFonts w:ascii="Arial" w:eastAsiaTheme="majorEastAsia" w:hAnsi="Arial" w:cs="Arial"/>
                <w:sz w:val="20"/>
                <w:szCs w:val="20"/>
                <w:lang w:val="en-US"/>
              </w:rPr>
              <w:t>This Sample ERM Board Submission with Dashboard Report Template is part of an ERM Toolkit designed to be lightweight and practical for lean central office teams in small and medium-sized BC school districts. An accompanying ERM Guide provides step-by-step support for the ERM process, including the collection and validation of data to be used in Board reports.</w:t>
            </w:r>
          </w:p>
          <w:p w14:paraId="07690C9B"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sz w:val="20"/>
                <w:szCs w:val="20"/>
              </w:rPr>
            </w:pPr>
          </w:p>
          <w:p w14:paraId="64155805"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b/>
                <w:bCs/>
                <w:sz w:val="20"/>
                <w:szCs w:val="20"/>
              </w:rPr>
            </w:pPr>
            <w:r w:rsidRPr="00321873">
              <w:rPr>
                <w:rStyle w:val="normaltextrun"/>
                <w:rFonts w:ascii="Arial" w:eastAsiaTheme="majorEastAsia" w:hAnsi="Arial" w:cs="Arial"/>
                <w:b/>
                <w:bCs/>
                <w:sz w:val="20"/>
                <w:szCs w:val="20"/>
                <w:lang w:val="en-US"/>
              </w:rPr>
              <w:t>Text appearing in highlighted boxes (like this one) is illustrative to show probable scenarios for small and medium-sized school districts; it flows from the sample data used in the other templates in this ERM Toolkit. Once this Template is customized and adopted by your school district, the sample text should be deleted and replaced with real ERM data specific to your school district.</w:t>
            </w:r>
          </w:p>
          <w:p w14:paraId="21DE9D1F"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sz w:val="20"/>
                <w:szCs w:val="20"/>
              </w:rPr>
            </w:pPr>
          </w:p>
          <w:p w14:paraId="1FD3B467" w14:textId="17BCA910" w:rsidR="0023751F" w:rsidRPr="0023751F" w:rsidRDefault="00321873" w:rsidP="0023751F">
            <w:pPr>
              <w:pStyle w:val="paragraph"/>
              <w:shd w:val="clear" w:color="auto" w:fill="FAE2D5" w:themeFill="accent2" w:themeFillTint="33"/>
              <w:spacing w:before="0" w:beforeAutospacing="0" w:after="80" w:afterAutospacing="0"/>
              <w:textAlignment w:val="baseline"/>
              <w:rPr>
                <w:rFonts w:ascii="Arial" w:eastAsiaTheme="majorEastAsia" w:hAnsi="Arial" w:cs="Arial"/>
                <w:b/>
                <w:bCs/>
                <w:sz w:val="20"/>
                <w:szCs w:val="20"/>
              </w:rPr>
            </w:pPr>
            <w:r w:rsidRPr="00321873">
              <w:rPr>
                <w:rStyle w:val="normaltextrun"/>
                <w:rFonts w:ascii="Arial" w:eastAsiaTheme="majorEastAsia" w:hAnsi="Arial" w:cs="Arial"/>
                <w:b/>
                <w:bCs/>
                <w:sz w:val="20"/>
                <w:szCs w:val="20"/>
                <w:lang w:val="en-US"/>
              </w:rPr>
              <w:t>Using This Template</w:t>
            </w:r>
            <w:r w:rsidRPr="00321873">
              <w:rPr>
                <w:rStyle w:val="eop"/>
                <w:rFonts w:ascii="Arial" w:eastAsiaTheme="majorEastAsia" w:hAnsi="Arial" w:cs="Arial"/>
                <w:b/>
                <w:bCs/>
                <w:sz w:val="20"/>
                <w:szCs w:val="20"/>
              </w:rPr>
              <w:t> </w:t>
            </w:r>
          </w:p>
          <w:p w14:paraId="1B8B3B0E"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Style w:val="normaltextrun"/>
                <w:rFonts w:ascii="Arial" w:eastAsiaTheme="majorEastAsia" w:hAnsi="Arial" w:cs="Arial"/>
                <w:sz w:val="20"/>
                <w:szCs w:val="20"/>
                <w:lang w:val="en-US"/>
              </w:rPr>
            </w:pPr>
            <w:r w:rsidRPr="00321873">
              <w:rPr>
                <w:rStyle w:val="normaltextrun"/>
                <w:rFonts w:ascii="Arial" w:eastAsiaTheme="majorEastAsia" w:hAnsi="Arial" w:cs="Arial"/>
                <w:sz w:val="20"/>
                <w:szCs w:val="20"/>
                <w:lang w:val="en-US"/>
              </w:rPr>
              <w:t>This reporting Template synthesizes key ERM data points useful for Board risk oversight and decision-making appropriate to the expectations and authority of a BC public school board. It provides enough structure and detail for Boards and senior leadership to meaningfully participate in an ERM process that is forward-looking without heavy reliance on risk terminology or analytics more suited to management’s purview.</w:t>
            </w:r>
          </w:p>
          <w:p w14:paraId="4765430E"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Style w:val="normaltextrun"/>
                <w:rFonts w:ascii="Arial" w:eastAsiaTheme="majorEastAsia" w:hAnsi="Arial" w:cs="Arial"/>
                <w:sz w:val="20"/>
                <w:szCs w:val="20"/>
                <w:lang w:val="en-US"/>
              </w:rPr>
            </w:pPr>
          </w:p>
          <w:p w14:paraId="12CA480E"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sz w:val="20"/>
                <w:szCs w:val="20"/>
              </w:rPr>
            </w:pPr>
            <w:r w:rsidRPr="00321873">
              <w:rPr>
                <w:rStyle w:val="normaltextrun"/>
                <w:rFonts w:ascii="Arial" w:eastAsiaTheme="majorEastAsia" w:hAnsi="Arial" w:cs="Arial"/>
                <w:sz w:val="20"/>
                <w:szCs w:val="20"/>
                <w:lang w:val="en-US"/>
              </w:rPr>
              <w:t>It’s strongly advised that the Board receive an introduction to your school district’s approach to ERM in advance of receiving this submission. Ideally, they would have also had the opportunity to review and approve the ERM framework for your district as well.</w:t>
            </w:r>
          </w:p>
          <w:p w14:paraId="753AFE00"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sz w:val="20"/>
                <w:szCs w:val="20"/>
              </w:rPr>
            </w:pPr>
          </w:p>
          <w:p w14:paraId="732F39B0"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sz w:val="20"/>
                <w:szCs w:val="20"/>
              </w:rPr>
            </w:pPr>
            <w:r w:rsidRPr="00321873">
              <w:rPr>
                <w:rStyle w:val="normaltextrun"/>
                <w:rFonts w:ascii="Arial" w:eastAsiaTheme="majorEastAsia" w:hAnsi="Arial" w:cs="Arial"/>
                <w:sz w:val="20"/>
                <w:szCs w:val="20"/>
                <w:lang w:val="en-US"/>
              </w:rPr>
              <w:t>Shaded fields indicate where districts should make local decisions to reflect their own governance structures, reporting needs, and capacity.</w:t>
            </w:r>
          </w:p>
          <w:p w14:paraId="75C50028"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Fonts w:ascii="Arial" w:hAnsi="Arial" w:cs="Arial"/>
                <w:sz w:val="20"/>
                <w:szCs w:val="20"/>
              </w:rPr>
            </w:pPr>
          </w:p>
          <w:p w14:paraId="21A3FC0A" w14:textId="03AF6C7C" w:rsidR="00321873" w:rsidRPr="00321873" w:rsidRDefault="00321873" w:rsidP="00321873">
            <w:pPr>
              <w:pStyle w:val="paragraph"/>
              <w:shd w:val="clear" w:color="auto" w:fill="FAE2D5" w:themeFill="accent2" w:themeFillTint="33"/>
              <w:spacing w:before="0" w:beforeAutospacing="0" w:after="0" w:afterAutospacing="0"/>
              <w:textAlignment w:val="baseline"/>
              <w:rPr>
                <w:rStyle w:val="eop"/>
                <w:rFonts w:ascii="Arial" w:eastAsiaTheme="majorEastAsia" w:hAnsi="Arial" w:cs="Arial"/>
                <w:sz w:val="20"/>
                <w:szCs w:val="20"/>
              </w:rPr>
            </w:pPr>
            <w:r w:rsidRPr="00321873">
              <w:rPr>
                <w:rStyle w:val="normaltextrun"/>
                <w:rFonts w:ascii="Arial" w:eastAsiaTheme="majorEastAsia" w:hAnsi="Arial" w:cs="Arial"/>
                <w:sz w:val="20"/>
                <w:szCs w:val="20"/>
                <w:lang w:val="en-US"/>
              </w:rPr>
              <w:t>Although the sample text assumes a typical district, the sample text is only illustrative and not prescriptive. Districts should</w:t>
            </w:r>
            <w:r w:rsidR="0018696B">
              <w:rPr>
                <w:rStyle w:val="normaltextrun"/>
                <w:rFonts w:ascii="Arial" w:eastAsiaTheme="majorEastAsia" w:hAnsi="Arial" w:cs="Arial"/>
                <w:sz w:val="20"/>
                <w:szCs w:val="20"/>
                <w:lang w:val="en-US"/>
              </w:rPr>
              <w:t xml:space="preserve"> update </w:t>
            </w:r>
            <w:r w:rsidRPr="00321873">
              <w:rPr>
                <w:rStyle w:val="normaltextrun"/>
                <w:rFonts w:ascii="Arial" w:eastAsiaTheme="majorEastAsia" w:hAnsi="Arial" w:cs="Arial"/>
                <w:sz w:val="20"/>
                <w:szCs w:val="20"/>
                <w:lang w:val="en-US"/>
              </w:rPr>
              <w:t xml:space="preserve">the format and content </w:t>
            </w:r>
            <w:r w:rsidR="0018696B">
              <w:rPr>
                <w:rStyle w:val="normaltextrun"/>
                <w:rFonts w:ascii="Arial" w:eastAsiaTheme="majorEastAsia" w:hAnsi="Arial" w:cs="Arial"/>
                <w:sz w:val="20"/>
                <w:szCs w:val="20"/>
                <w:lang w:val="en-US"/>
              </w:rPr>
              <w:t xml:space="preserve">to </w:t>
            </w:r>
            <w:r w:rsidRPr="00321873">
              <w:rPr>
                <w:rStyle w:val="normaltextrun"/>
                <w:rFonts w:ascii="Arial" w:eastAsiaTheme="majorEastAsia" w:hAnsi="Arial" w:cs="Arial"/>
                <w:sz w:val="20"/>
                <w:szCs w:val="20"/>
                <w:lang w:val="en-US"/>
              </w:rPr>
              <w:t>align with their ERM framework and local context.</w:t>
            </w:r>
          </w:p>
          <w:p w14:paraId="2B08C8B3"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Style w:val="eop"/>
                <w:rFonts w:ascii="Arial" w:eastAsiaTheme="majorEastAsia" w:hAnsi="Arial" w:cs="Arial"/>
                <w:sz w:val="20"/>
                <w:szCs w:val="20"/>
              </w:rPr>
            </w:pPr>
          </w:p>
          <w:p w14:paraId="0B08564B" w14:textId="77777777" w:rsidR="00321873" w:rsidRDefault="00321873" w:rsidP="00321873">
            <w:pPr>
              <w:pStyle w:val="paragraph"/>
              <w:shd w:val="clear" w:color="auto" w:fill="FAE2D5" w:themeFill="accent2" w:themeFillTint="33"/>
              <w:spacing w:before="0" w:beforeAutospacing="0" w:after="0" w:afterAutospacing="0"/>
              <w:textAlignment w:val="baseline"/>
              <w:rPr>
                <w:rStyle w:val="eop"/>
                <w:rFonts w:ascii="Arial" w:eastAsiaTheme="majorEastAsia" w:hAnsi="Arial" w:cs="Arial"/>
                <w:b/>
                <w:bCs/>
                <w:sz w:val="20"/>
                <w:szCs w:val="20"/>
              </w:rPr>
            </w:pPr>
            <w:r w:rsidRPr="00321873">
              <w:rPr>
                <w:rStyle w:val="eop"/>
                <w:rFonts w:ascii="Arial" w:eastAsiaTheme="majorEastAsia" w:hAnsi="Arial" w:cs="Arial"/>
                <w:b/>
                <w:bCs/>
                <w:sz w:val="20"/>
                <w:szCs w:val="20"/>
              </w:rPr>
              <w:t>Companion ERM Toolkit templates pertinent to adopting and adapting this Sample Board Submission with Dashboard Report Template:</w:t>
            </w:r>
          </w:p>
          <w:p w14:paraId="59E337DD" w14:textId="77777777" w:rsidR="00321873" w:rsidRPr="00321873" w:rsidRDefault="00321873" w:rsidP="00321873">
            <w:pPr>
              <w:pStyle w:val="paragraph"/>
              <w:shd w:val="clear" w:color="auto" w:fill="FAE2D5" w:themeFill="accent2" w:themeFillTint="33"/>
              <w:spacing w:before="0" w:beforeAutospacing="0" w:after="0" w:afterAutospacing="0"/>
              <w:textAlignment w:val="baseline"/>
              <w:rPr>
                <w:rStyle w:val="eop"/>
                <w:rFonts w:ascii="Arial" w:eastAsiaTheme="majorEastAsia" w:hAnsi="Arial" w:cs="Arial"/>
                <w:b/>
                <w:bCs/>
                <w:sz w:val="20"/>
                <w:szCs w:val="20"/>
              </w:rPr>
            </w:pPr>
          </w:p>
          <w:p w14:paraId="7CE2F119" w14:textId="77777777" w:rsidR="00321873" w:rsidRPr="00321873" w:rsidRDefault="00321873" w:rsidP="0023751F">
            <w:pPr>
              <w:pStyle w:val="paragraph"/>
              <w:numPr>
                <w:ilvl w:val="0"/>
                <w:numId w:val="28"/>
              </w:numPr>
              <w:shd w:val="clear" w:color="auto" w:fill="FAE2D5" w:themeFill="accent2" w:themeFillTint="33"/>
              <w:spacing w:before="0" w:beforeAutospacing="0" w:after="0" w:afterAutospacing="0"/>
              <w:textAlignment w:val="baseline"/>
              <w:rPr>
                <w:rStyle w:val="eop"/>
                <w:rFonts w:ascii="Arial" w:hAnsi="Arial" w:cs="Arial"/>
                <w:sz w:val="20"/>
                <w:szCs w:val="20"/>
              </w:rPr>
            </w:pPr>
            <w:r w:rsidRPr="00321873">
              <w:rPr>
                <w:rStyle w:val="eop"/>
                <w:rFonts w:ascii="Arial" w:eastAsiaTheme="majorEastAsia" w:hAnsi="Arial" w:cs="Arial"/>
                <w:sz w:val="20"/>
                <w:szCs w:val="20"/>
              </w:rPr>
              <w:t>ERM Framework (specifically the sections on Risk Appetite and Risk Categories)</w:t>
            </w:r>
          </w:p>
          <w:p w14:paraId="294847CA" w14:textId="77777777" w:rsidR="00321873" w:rsidRPr="00321873" w:rsidRDefault="00321873" w:rsidP="0023751F">
            <w:pPr>
              <w:pStyle w:val="paragraph"/>
              <w:numPr>
                <w:ilvl w:val="0"/>
                <w:numId w:val="28"/>
              </w:numPr>
              <w:shd w:val="clear" w:color="auto" w:fill="FAE2D5" w:themeFill="accent2" w:themeFillTint="33"/>
              <w:spacing w:before="0" w:beforeAutospacing="0" w:after="0" w:afterAutospacing="0"/>
              <w:textAlignment w:val="baseline"/>
              <w:rPr>
                <w:rFonts w:ascii="Arial" w:hAnsi="Arial" w:cs="Arial"/>
                <w:sz w:val="20"/>
                <w:szCs w:val="20"/>
              </w:rPr>
            </w:pPr>
            <w:r w:rsidRPr="00321873">
              <w:rPr>
                <w:rFonts w:ascii="Arial" w:hAnsi="Arial" w:cs="Arial"/>
                <w:sz w:val="20"/>
                <w:szCs w:val="20"/>
              </w:rPr>
              <w:t>ERM Risk Register (specifically the relation of residual risk scores to risk appetite)</w:t>
            </w:r>
          </w:p>
          <w:p w14:paraId="486CF857" w14:textId="77777777" w:rsidR="00321873" w:rsidRDefault="00321873" w:rsidP="00321873">
            <w:pPr>
              <w:ind w:right="571"/>
              <w:jc w:val="center"/>
              <w:rPr>
                <w:rFonts w:eastAsiaTheme="minorEastAsia" w:cs="Arial"/>
                <w:lang w:eastAsia="ja-JP"/>
              </w:rPr>
            </w:pPr>
          </w:p>
        </w:tc>
      </w:tr>
    </w:tbl>
    <w:p w14:paraId="798D208B" w14:textId="77777777" w:rsidR="00FA692F" w:rsidRDefault="00FA692F" w:rsidP="00FA692F">
      <w:pPr>
        <w:pStyle w:val="paragraph"/>
        <w:spacing w:before="0" w:beforeAutospacing="0" w:after="0" w:afterAutospacing="0"/>
        <w:textAlignment w:val="baseline"/>
        <w:rPr>
          <w:rFonts w:ascii="Segoe UI" w:hAnsi="Segoe UI" w:cs="Segoe UI"/>
          <w:sz w:val="18"/>
          <w:szCs w:val="18"/>
        </w:rPr>
      </w:pPr>
    </w:p>
    <w:p w14:paraId="676A7446" w14:textId="77777777" w:rsidR="00321873" w:rsidRPr="00CD7F10" w:rsidRDefault="00321873" w:rsidP="00321873">
      <w:pPr>
        <w:jc w:val="center"/>
        <w:rPr>
          <w:rFonts w:eastAsia="Aptos" w:cs="Arial"/>
          <w:sz w:val="48"/>
          <w:szCs w:val="48"/>
        </w:rPr>
      </w:pPr>
      <w:r>
        <w:rPr>
          <w:rFonts w:eastAsia="Aptos" w:cs="Arial"/>
          <w:sz w:val="48"/>
          <w:szCs w:val="48"/>
        </w:rPr>
        <w:t>Board Submission – Enterprise Risk Management (ERM) Dashboard Report</w:t>
      </w:r>
      <w:r w:rsidRPr="00CD7F10">
        <w:rPr>
          <w:rFonts w:eastAsia="Aptos" w:cs="Arial"/>
          <w:sz w:val="48"/>
          <w:szCs w:val="48"/>
        </w:rPr>
        <w:t xml:space="preserve"> for School District </w:t>
      </w:r>
      <w:r w:rsidRPr="00CD7F10">
        <w:rPr>
          <w:rFonts w:eastAsia="Aptos" w:cs="Arial"/>
          <w:sz w:val="48"/>
          <w:szCs w:val="48"/>
          <w:shd w:val="clear" w:color="auto" w:fill="FAE2D5" w:themeFill="accent2" w:themeFillTint="33"/>
        </w:rPr>
        <w:t>[##]</w:t>
      </w:r>
    </w:p>
    <w:p w14:paraId="5556662D" w14:textId="77777777" w:rsidR="00AB62E9" w:rsidRPr="0088470A" w:rsidRDefault="00AB62E9" w:rsidP="00AB62E9">
      <w:pPr>
        <w:rPr>
          <w:color w:val="637B94"/>
        </w:rPr>
      </w:pPr>
    </w:p>
    <w:p w14:paraId="1B329FD9" w14:textId="77777777" w:rsidR="00321873" w:rsidRPr="00C5086E" w:rsidRDefault="00321873" w:rsidP="00321873">
      <w:pPr>
        <w:pStyle w:val="paragraph"/>
        <w:spacing w:before="0" w:beforeAutospacing="0" w:after="120" w:afterAutospacing="0"/>
        <w:textAlignment w:val="baseline"/>
        <w:rPr>
          <w:rFonts w:ascii="Arial" w:hAnsi="Arial" w:cs="Arial"/>
          <w:sz w:val="16"/>
          <w:szCs w:val="16"/>
          <w:lang w:eastAsia="en-CA"/>
        </w:rPr>
      </w:pPr>
      <w:r w:rsidRPr="00C5086E">
        <w:rPr>
          <w:rStyle w:val="normaltextrun"/>
          <w:rFonts w:ascii="Arial" w:eastAsiaTheme="majorEastAsia" w:hAnsi="Arial" w:cs="Arial"/>
          <w:sz w:val="20"/>
          <w:szCs w:val="20"/>
        </w:rPr>
        <w:t>Reporting Period: </w:t>
      </w:r>
      <w:r w:rsidRPr="00C5086E">
        <w:rPr>
          <w:rStyle w:val="normaltextrun"/>
          <w:rFonts w:ascii="Arial" w:eastAsiaTheme="majorEastAsia" w:hAnsi="Arial" w:cs="Arial"/>
          <w:sz w:val="20"/>
          <w:szCs w:val="20"/>
          <w:shd w:val="clear" w:color="auto" w:fill="FAE2D5"/>
        </w:rPr>
        <w:t>Q# 202#</w:t>
      </w:r>
      <w:r w:rsidRPr="00C5086E">
        <w:rPr>
          <w:rStyle w:val="eop"/>
          <w:rFonts w:ascii="Arial" w:eastAsiaTheme="majorEastAsia" w:hAnsi="Arial" w:cs="Arial"/>
          <w:sz w:val="20"/>
          <w:szCs w:val="20"/>
        </w:rPr>
        <w:t> </w:t>
      </w:r>
    </w:p>
    <w:p w14:paraId="002AFF95" w14:textId="77777777" w:rsidR="00321873" w:rsidRPr="00C5086E" w:rsidRDefault="00321873" w:rsidP="00321873">
      <w:pPr>
        <w:pStyle w:val="paragraph"/>
        <w:spacing w:before="0" w:beforeAutospacing="0" w:after="120" w:afterAutospacing="0"/>
        <w:textAlignment w:val="baseline"/>
        <w:rPr>
          <w:rFonts w:ascii="Arial" w:hAnsi="Arial" w:cs="Arial"/>
          <w:sz w:val="16"/>
          <w:szCs w:val="16"/>
        </w:rPr>
      </w:pPr>
      <w:r w:rsidRPr="00C5086E">
        <w:rPr>
          <w:rStyle w:val="normaltextrun"/>
          <w:rFonts w:ascii="Arial" w:eastAsiaTheme="majorEastAsia" w:hAnsi="Arial" w:cs="Arial"/>
          <w:sz w:val="20"/>
          <w:szCs w:val="20"/>
        </w:rPr>
        <w:t>Submitted by: </w:t>
      </w:r>
      <w:r w:rsidRPr="00C5086E">
        <w:rPr>
          <w:rStyle w:val="normaltextrun"/>
          <w:rFonts w:ascii="Arial" w:eastAsiaTheme="majorEastAsia" w:hAnsi="Arial" w:cs="Arial"/>
          <w:sz w:val="20"/>
          <w:szCs w:val="20"/>
          <w:shd w:val="clear" w:color="auto" w:fill="FAE2D5"/>
        </w:rPr>
        <w:t>Superintendent and Secretary-Treasurer</w:t>
      </w:r>
      <w:r w:rsidRPr="00C5086E">
        <w:rPr>
          <w:rStyle w:val="eop"/>
          <w:rFonts w:ascii="Arial" w:eastAsiaTheme="majorEastAsia" w:hAnsi="Arial" w:cs="Arial"/>
          <w:sz w:val="20"/>
          <w:szCs w:val="20"/>
        </w:rPr>
        <w:t> </w:t>
      </w:r>
    </w:p>
    <w:p w14:paraId="4FB3EA20" w14:textId="187088FC" w:rsidR="00AB62E9" w:rsidRPr="00321873" w:rsidRDefault="00321873" w:rsidP="00321873">
      <w:pPr>
        <w:pStyle w:val="paragraph"/>
        <w:spacing w:before="0" w:beforeAutospacing="0" w:after="120" w:afterAutospacing="0"/>
        <w:textAlignment w:val="baseline"/>
        <w:rPr>
          <w:rFonts w:ascii="Segoe UI" w:hAnsi="Segoe UI" w:cs="Segoe UI"/>
          <w:sz w:val="18"/>
          <w:szCs w:val="18"/>
        </w:rPr>
      </w:pPr>
      <w:r w:rsidRPr="00C5086E">
        <w:rPr>
          <w:rStyle w:val="normaltextrun"/>
          <w:rFonts w:ascii="Arial" w:eastAsiaTheme="majorEastAsia" w:hAnsi="Arial" w:cs="Arial"/>
          <w:sz w:val="20"/>
          <w:szCs w:val="20"/>
        </w:rPr>
        <w:t>Date: </w:t>
      </w:r>
      <w:r w:rsidRPr="00C5086E">
        <w:rPr>
          <w:rStyle w:val="normaltextrun"/>
          <w:rFonts w:ascii="Arial" w:eastAsiaTheme="majorEastAsia" w:hAnsi="Arial" w:cs="Arial"/>
          <w:sz w:val="20"/>
          <w:szCs w:val="20"/>
          <w:shd w:val="clear" w:color="auto" w:fill="FAE2D5"/>
        </w:rPr>
        <w:t>[dd-mm-</w:t>
      </w:r>
      <w:proofErr w:type="spellStart"/>
      <w:r w:rsidRPr="00C5086E">
        <w:rPr>
          <w:rStyle w:val="normaltextrun"/>
          <w:rFonts w:ascii="Arial" w:eastAsiaTheme="majorEastAsia" w:hAnsi="Arial" w:cs="Arial"/>
          <w:sz w:val="20"/>
          <w:szCs w:val="20"/>
          <w:shd w:val="clear" w:color="auto" w:fill="FAE2D5"/>
        </w:rPr>
        <w:t>yyyy</w:t>
      </w:r>
      <w:proofErr w:type="spellEnd"/>
      <w:r w:rsidRPr="00C5086E">
        <w:rPr>
          <w:rStyle w:val="normaltextrun"/>
          <w:rFonts w:ascii="Arial" w:eastAsiaTheme="majorEastAsia" w:hAnsi="Arial" w:cs="Arial"/>
          <w:sz w:val="20"/>
          <w:szCs w:val="20"/>
          <w:shd w:val="clear" w:color="auto" w:fill="FAE2D5"/>
        </w:rPr>
        <w:t>]</w:t>
      </w:r>
      <w:r w:rsidRPr="00C5086E">
        <w:rPr>
          <w:rStyle w:val="eop"/>
          <w:rFonts w:ascii="Aptos" w:eastAsiaTheme="majorEastAsia" w:hAnsi="Aptos" w:cs="Segoe UI"/>
          <w:sz w:val="20"/>
          <w:szCs w:val="20"/>
        </w:rPr>
        <w:t> </w:t>
      </w:r>
    </w:p>
    <w:p w14:paraId="4429C00A" w14:textId="77777777" w:rsidR="00AB62E9" w:rsidRPr="00AB62E9" w:rsidRDefault="00AB62E9" w:rsidP="00321873">
      <w:pPr>
        <w:pStyle w:val="Heading2"/>
      </w:pPr>
      <w:r w:rsidRPr="00AB62E9">
        <w:t>Purpose of Report</w:t>
      </w:r>
    </w:p>
    <w:p w14:paraId="2A2C9072" w14:textId="77777777" w:rsidR="00AB62E9" w:rsidRDefault="00AB62E9" w:rsidP="00321873">
      <w:pPr>
        <w:ind w:left="426"/>
      </w:pPr>
      <w:r>
        <w:t xml:space="preserve">The purpose of this report is to provide the Board with a concise, integrated overview of the district’s most significant enterprise-level risks </w:t>
      </w:r>
      <w:proofErr w:type="gramStart"/>
      <w:r>
        <w:t>at this time</w:t>
      </w:r>
      <w:proofErr w:type="gramEnd"/>
      <w:r>
        <w:t>.</w:t>
      </w:r>
    </w:p>
    <w:p w14:paraId="5BCF1B7C" w14:textId="441819A9" w:rsidR="00AB62E9" w:rsidRDefault="00AB62E9" w:rsidP="00321873">
      <w:pPr>
        <w:ind w:left="426"/>
      </w:pPr>
      <w:r>
        <w:t>This ERM dashboard supports the Board’s governance and oversight role by:</w:t>
      </w:r>
    </w:p>
    <w:p w14:paraId="429E31F2" w14:textId="6867E1D6" w:rsidR="00AB62E9" w:rsidRDefault="00AB62E9" w:rsidP="00321873">
      <w:pPr>
        <w:pStyle w:val="ListParagraph"/>
        <w:numPr>
          <w:ilvl w:val="0"/>
          <w:numId w:val="18"/>
        </w:numPr>
        <w:ind w:left="1145" w:hanging="357"/>
        <w:contextualSpacing w:val="0"/>
      </w:pPr>
      <w:r>
        <w:t>Highlighting key risks that could affect the achievement of the district’s strategic objectives</w:t>
      </w:r>
      <w:r w:rsidR="00321873">
        <w:t>.</w:t>
      </w:r>
    </w:p>
    <w:p w14:paraId="6DDEBDB7" w14:textId="744FBDB5" w:rsidR="00AB62E9" w:rsidRDefault="00AB62E9" w:rsidP="00321873">
      <w:pPr>
        <w:pStyle w:val="ListParagraph"/>
        <w:numPr>
          <w:ilvl w:val="0"/>
          <w:numId w:val="18"/>
        </w:numPr>
        <w:ind w:left="1145" w:hanging="357"/>
        <w:contextualSpacing w:val="0"/>
      </w:pPr>
      <w:r>
        <w:t>Demonstrating how m</w:t>
      </w:r>
      <w:r w:rsidR="00064A6E">
        <w:t>a</w:t>
      </w:r>
      <w:r>
        <w:t>nagement is using the Board’s risk appetite to prioritize and manage risk</w:t>
      </w:r>
      <w:r w:rsidR="00321873">
        <w:t>.</w:t>
      </w:r>
    </w:p>
    <w:p w14:paraId="1520F9AA" w14:textId="322DC955" w:rsidR="00AB62E9" w:rsidRDefault="00AB62E9" w:rsidP="00321873">
      <w:pPr>
        <w:pStyle w:val="ListParagraph"/>
        <w:numPr>
          <w:ilvl w:val="0"/>
          <w:numId w:val="18"/>
        </w:numPr>
        <w:ind w:left="1145" w:hanging="357"/>
        <w:contextualSpacing w:val="0"/>
      </w:pPr>
      <w:r>
        <w:t>Identifying where risks are within, approaching, or exceeding the Board’s stated tolerance</w:t>
      </w:r>
      <w:r w:rsidR="00321873">
        <w:t>.</w:t>
      </w:r>
    </w:p>
    <w:p w14:paraId="5785F30A" w14:textId="77777777" w:rsidR="00AB62E9" w:rsidRDefault="00AB62E9" w:rsidP="00321873">
      <w:pPr>
        <w:ind w:left="426"/>
      </w:pPr>
      <w:r>
        <w:t>This report is intended to support Board awareness, discussion, and oversight. Day-to-day risk management remains the responsibility of management.</w:t>
      </w:r>
    </w:p>
    <w:p w14:paraId="02E480DE" w14:textId="6D92B50F" w:rsidR="00B25C6F" w:rsidRDefault="00AB62E9" w:rsidP="00924FBB">
      <w:pPr>
        <w:pStyle w:val="Heading2"/>
      </w:pPr>
      <w:r w:rsidRPr="00AB62E9">
        <w:t>Context: ERM, Strategy, and Risk Appetite</w:t>
      </w:r>
    </w:p>
    <w:p w14:paraId="7C08F48B" w14:textId="30390500" w:rsidR="00AB62E9" w:rsidRDefault="00AB62E9" w:rsidP="00321873">
      <w:pPr>
        <w:ind w:left="426"/>
      </w:pPr>
      <w:r>
        <w:t xml:space="preserve">Enterprise Risk Management (ERM) is a structured approach used by management to identify, assess, and manage uncertainties that could affect the district’s ability to achieve its </w:t>
      </w:r>
      <w:r w:rsidR="00FF6494">
        <w:t xml:space="preserve">purpose and </w:t>
      </w:r>
      <w:r>
        <w:t>objectives</w:t>
      </w:r>
      <w:commentRangeStart w:id="0"/>
      <w:r>
        <w:t>.</w:t>
      </w:r>
      <w:commentRangeEnd w:id="0"/>
      <w:r w:rsidR="00DD5618">
        <w:rPr>
          <w:rStyle w:val="CommentReference"/>
        </w:rPr>
        <w:commentReference w:id="0"/>
      </w:r>
    </w:p>
    <w:p w14:paraId="05774F67" w14:textId="168190EB" w:rsidR="00AB62E9" w:rsidRDefault="00AB62E9" w:rsidP="00321873">
      <w:pPr>
        <w:ind w:left="426"/>
      </w:pPr>
      <w:r>
        <w:t xml:space="preserve">In </w:t>
      </w:r>
      <w:r w:rsidR="002051BA">
        <w:t>our</w:t>
      </w:r>
      <w:r>
        <w:t xml:space="preserve"> district:</w:t>
      </w:r>
    </w:p>
    <w:p w14:paraId="70629BA8" w14:textId="03A13887" w:rsidR="00AB62E9" w:rsidRDefault="00AB62E9" w:rsidP="00321873">
      <w:pPr>
        <w:pStyle w:val="ListParagraph"/>
        <w:numPr>
          <w:ilvl w:val="0"/>
          <w:numId w:val="24"/>
        </w:numPr>
        <w:ind w:left="1145" w:hanging="357"/>
        <w:contextualSpacing w:val="0"/>
      </w:pPr>
      <w:r>
        <w:t xml:space="preserve">Risks are identified and assessed in relation to </w:t>
      </w:r>
      <w:r w:rsidR="002051BA">
        <w:t>our</w:t>
      </w:r>
      <w:r>
        <w:t xml:space="preserve"> district’s strategic direction under the Framework for Enhancing Student Learning (FESL)</w:t>
      </w:r>
      <w:r w:rsidR="002051BA">
        <w:t>.</w:t>
      </w:r>
    </w:p>
    <w:p w14:paraId="654B791D" w14:textId="7DD01948" w:rsidR="00AB62E9" w:rsidRDefault="00AB62E9" w:rsidP="00321873">
      <w:pPr>
        <w:pStyle w:val="ListParagraph"/>
        <w:numPr>
          <w:ilvl w:val="0"/>
          <w:numId w:val="24"/>
        </w:numPr>
        <w:ind w:left="1145" w:hanging="357"/>
        <w:contextualSpacing w:val="0"/>
      </w:pPr>
      <w:r>
        <w:t xml:space="preserve">The </w:t>
      </w:r>
      <w:commentRangeStart w:id="1"/>
      <w:r>
        <w:t xml:space="preserve">Board’s risk appetite </w:t>
      </w:r>
      <w:commentRangeEnd w:id="1"/>
      <w:r w:rsidR="00F65FE8">
        <w:rPr>
          <w:rStyle w:val="CommentReference"/>
        </w:rPr>
        <w:commentReference w:id="1"/>
      </w:r>
      <w:r>
        <w:t>provides guidance on how much risk is acceptable in different areas of the district’s operations</w:t>
      </w:r>
      <w:r w:rsidR="002051BA">
        <w:t>.</w:t>
      </w:r>
      <w:r w:rsidR="00F65FE8">
        <w:t xml:space="preserve"> </w:t>
      </w:r>
      <w:r>
        <w:t xml:space="preserve">Management uses this guidance to determine which risks require active mitigation and which should be escalated to the Board for awareness or </w:t>
      </w:r>
      <w:r w:rsidR="002151C2">
        <w:t>decisions on re</w:t>
      </w:r>
      <w:r w:rsidR="006039DC">
        <w:t>source allocation</w:t>
      </w:r>
      <w:r w:rsidR="00F65FE8">
        <w:t>.</w:t>
      </w:r>
    </w:p>
    <w:p w14:paraId="70E6E986" w14:textId="3366D612" w:rsidR="00AB62E9" w:rsidRDefault="00AB62E9" w:rsidP="00321873">
      <w:pPr>
        <w:pStyle w:val="ListParagraph"/>
        <w:numPr>
          <w:ilvl w:val="0"/>
          <w:numId w:val="24"/>
        </w:numPr>
        <w:ind w:left="1145" w:hanging="357"/>
        <w:contextualSpacing w:val="0"/>
      </w:pPr>
      <w:commentRangeStart w:id="2"/>
      <w:r>
        <w:t xml:space="preserve">Only </w:t>
      </w:r>
      <w:r w:rsidR="00632485">
        <w:t xml:space="preserve">the </w:t>
      </w:r>
      <w:r>
        <w:t>priority risks are brought forward to the Board through this dashboard.</w:t>
      </w:r>
      <w:commentRangeEnd w:id="2"/>
      <w:r w:rsidR="00DF3AC6">
        <w:rPr>
          <w:rStyle w:val="CommentReference"/>
        </w:rPr>
        <w:commentReference w:id="2"/>
      </w:r>
    </w:p>
    <w:p w14:paraId="684F47B0" w14:textId="77777777" w:rsidR="00321873" w:rsidRDefault="00321873" w:rsidP="00321873">
      <w:pPr>
        <w:pStyle w:val="ListParagraph"/>
        <w:ind w:left="1145"/>
        <w:contextualSpacing w:val="0"/>
      </w:pPr>
    </w:p>
    <w:tbl>
      <w:tblPr>
        <w:tblStyle w:val="TableGrid"/>
        <w:tblW w:w="0" w:type="auto"/>
        <w:tblInd w:w="421" w:type="dxa"/>
        <w:tblLook w:val="04A0" w:firstRow="1" w:lastRow="0" w:firstColumn="1" w:lastColumn="0" w:noHBand="0" w:noVBand="1"/>
      </w:tblPr>
      <w:tblGrid>
        <w:gridCol w:w="3969"/>
        <w:gridCol w:w="1843"/>
        <w:gridCol w:w="3117"/>
      </w:tblGrid>
      <w:tr w:rsidR="00BE21BC" w14:paraId="691813B6" w14:textId="77777777" w:rsidTr="00CF1E8F">
        <w:trPr>
          <w:tblHeader/>
        </w:trPr>
        <w:tc>
          <w:tcPr>
            <w:tcW w:w="3969" w:type="dxa"/>
            <w:shd w:val="clear" w:color="auto" w:fill="637B94"/>
            <w:vAlign w:val="center"/>
          </w:tcPr>
          <w:p w14:paraId="1624E740" w14:textId="54098EF5" w:rsidR="00BE21BC" w:rsidRPr="00321873" w:rsidRDefault="00BE21BC" w:rsidP="00321873">
            <w:pPr>
              <w:spacing w:before="40" w:after="40"/>
              <w:jc w:val="center"/>
              <w:rPr>
                <w:b/>
                <w:bCs/>
                <w:color w:val="FFFFFF" w:themeColor="background1"/>
              </w:rPr>
            </w:pPr>
            <w:r w:rsidRPr="00321873">
              <w:rPr>
                <w:b/>
                <w:bCs/>
                <w:color w:val="FFFFFF" w:themeColor="background1"/>
              </w:rPr>
              <w:lastRenderedPageBreak/>
              <w:t>Indicator</w:t>
            </w:r>
          </w:p>
        </w:tc>
        <w:tc>
          <w:tcPr>
            <w:tcW w:w="1843" w:type="dxa"/>
            <w:shd w:val="clear" w:color="auto" w:fill="637B94"/>
            <w:vAlign w:val="center"/>
          </w:tcPr>
          <w:p w14:paraId="20C83B59" w14:textId="0DBE304A" w:rsidR="00BE21BC" w:rsidRPr="00321873" w:rsidRDefault="00BE21BC" w:rsidP="00321873">
            <w:pPr>
              <w:spacing w:before="40" w:after="40"/>
              <w:jc w:val="center"/>
              <w:rPr>
                <w:b/>
                <w:bCs/>
                <w:color w:val="FFFFFF" w:themeColor="background1"/>
              </w:rPr>
            </w:pPr>
            <w:r w:rsidRPr="00321873">
              <w:rPr>
                <w:b/>
                <w:bCs/>
                <w:color w:val="FFFFFF" w:themeColor="background1"/>
              </w:rPr>
              <w:t>Number of Risks</w:t>
            </w:r>
          </w:p>
        </w:tc>
        <w:tc>
          <w:tcPr>
            <w:tcW w:w="3117" w:type="dxa"/>
            <w:shd w:val="clear" w:color="auto" w:fill="637B94"/>
            <w:vAlign w:val="center"/>
          </w:tcPr>
          <w:p w14:paraId="3C99888B" w14:textId="5D0CE65F" w:rsidR="00BE21BC" w:rsidRPr="00321873" w:rsidRDefault="00BE21BC" w:rsidP="00321873">
            <w:pPr>
              <w:spacing w:before="40" w:after="40"/>
              <w:jc w:val="center"/>
              <w:rPr>
                <w:b/>
                <w:bCs/>
                <w:color w:val="FFFFFF" w:themeColor="background1"/>
              </w:rPr>
            </w:pPr>
            <w:r w:rsidRPr="00321873">
              <w:rPr>
                <w:b/>
                <w:bCs/>
                <w:color w:val="FFFFFF" w:themeColor="background1"/>
              </w:rPr>
              <w:t>Trend</w:t>
            </w:r>
            <w:r w:rsidR="00CB2BD2" w:rsidRPr="00321873">
              <w:rPr>
                <w:b/>
                <w:bCs/>
                <w:color w:val="FFFFFF" w:themeColor="background1"/>
              </w:rPr>
              <w:t>*</w:t>
            </w:r>
          </w:p>
        </w:tc>
      </w:tr>
      <w:tr w:rsidR="00BE21BC" w14:paraId="3BBDB2FF" w14:textId="77777777" w:rsidTr="00CF1E8F">
        <w:tc>
          <w:tcPr>
            <w:tcW w:w="3969" w:type="dxa"/>
            <w:vAlign w:val="center"/>
          </w:tcPr>
          <w:p w14:paraId="5BB91770" w14:textId="7C9EA2B0" w:rsidR="00BE21BC" w:rsidRDefault="00BE21BC" w:rsidP="00321873">
            <w:pPr>
              <w:spacing w:before="40" w:after="40"/>
            </w:pPr>
            <w:r w:rsidRPr="00602233">
              <w:t>Total priority risks reported</w:t>
            </w:r>
          </w:p>
        </w:tc>
        <w:tc>
          <w:tcPr>
            <w:tcW w:w="1843" w:type="dxa"/>
            <w:vAlign w:val="center"/>
          </w:tcPr>
          <w:p w14:paraId="66C51A39" w14:textId="6CD4375D" w:rsidR="00BE21BC" w:rsidRDefault="00BE21BC" w:rsidP="00CF1E8F">
            <w:pPr>
              <w:spacing w:before="40" w:after="40"/>
              <w:jc w:val="center"/>
            </w:pPr>
            <w:r w:rsidRPr="00602233">
              <w:t>3</w:t>
            </w:r>
          </w:p>
        </w:tc>
        <w:tc>
          <w:tcPr>
            <w:tcW w:w="3117" w:type="dxa"/>
            <w:vAlign w:val="center"/>
          </w:tcPr>
          <w:p w14:paraId="328BE42F" w14:textId="245CED89" w:rsidR="00BE21BC" w:rsidRDefault="00BE21BC" w:rsidP="00CF1E8F">
            <w:pPr>
              <w:spacing w:before="40" w:after="40"/>
              <w:jc w:val="center"/>
            </w:pPr>
            <w:r w:rsidRPr="00602233">
              <w:t>→</w:t>
            </w:r>
          </w:p>
        </w:tc>
      </w:tr>
      <w:tr w:rsidR="00BE21BC" w14:paraId="323BF596" w14:textId="77777777" w:rsidTr="00CF1E8F">
        <w:tc>
          <w:tcPr>
            <w:tcW w:w="3969" w:type="dxa"/>
            <w:vAlign w:val="center"/>
          </w:tcPr>
          <w:p w14:paraId="7788A4E5" w14:textId="1C117943" w:rsidR="00BE21BC" w:rsidRDefault="00BE21BC" w:rsidP="00321873">
            <w:pPr>
              <w:spacing w:before="40" w:after="40"/>
            </w:pPr>
            <w:r w:rsidRPr="00602233">
              <w:t>Risks within Board risk appetite</w:t>
            </w:r>
          </w:p>
        </w:tc>
        <w:tc>
          <w:tcPr>
            <w:tcW w:w="1843" w:type="dxa"/>
            <w:vAlign w:val="center"/>
          </w:tcPr>
          <w:p w14:paraId="502AD13D" w14:textId="6565C6AB" w:rsidR="00BE21BC" w:rsidRDefault="00BE21BC" w:rsidP="00CF1E8F">
            <w:pPr>
              <w:spacing w:before="40" w:after="40"/>
              <w:jc w:val="center"/>
            </w:pPr>
            <w:r w:rsidRPr="00602233">
              <w:t>1</w:t>
            </w:r>
          </w:p>
        </w:tc>
        <w:tc>
          <w:tcPr>
            <w:tcW w:w="3117" w:type="dxa"/>
            <w:vAlign w:val="center"/>
          </w:tcPr>
          <w:p w14:paraId="15A9E828" w14:textId="0C838B54" w:rsidR="00BE21BC" w:rsidRDefault="00BE21BC" w:rsidP="00CF1E8F">
            <w:pPr>
              <w:spacing w:before="40" w:after="40"/>
              <w:jc w:val="center"/>
            </w:pPr>
            <w:r w:rsidRPr="00602233">
              <w:t>→</w:t>
            </w:r>
          </w:p>
        </w:tc>
      </w:tr>
      <w:tr w:rsidR="00BE21BC" w14:paraId="2F109590" w14:textId="77777777" w:rsidTr="00CF1E8F">
        <w:tc>
          <w:tcPr>
            <w:tcW w:w="3969" w:type="dxa"/>
            <w:vAlign w:val="center"/>
          </w:tcPr>
          <w:p w14:paraId="41495807" w14:textId="2D84DD00" w:rsidR="00BE21BC" w:rsidRDefault="00BE21BC" w:rsidP="00321873">
            <w:pPr>
              <w:spacing w:before="40" w:after="40"/>
            </w:pPr>
            <w:r w:rsidRPr="00602233">
              <w:t>Risks approaching Board risk appetite</w:t>
            </w:r>
          </w:p>
        </w:tc>
        <w:tc>
          <w:tcPr>
            <w:tcW w:w="1843" w:type="dxa"/>
            <w:vAlign w:val="center"/>
          </w:tcPr>
          <w:p w14:paraId="35C2EAE5" w14:textId="5D1F076A" w:rsidR="00BE21BC" w:rsidRDefault="00BE21BC" w:rsidP="00CF1E8F">
            <w:pPr>
              <w:spacing w:before="40" w:after="40"/>
              <w:jc w:val="center"/>
            </w:pPr>
            <w:r w:rsidRPr="00602233">
              <w:t>1</w:t>
            </w:r>
          </w:p>
        </w:tc>
        <w:tc>
          <w:tcPr>
            <w:tcW w:w="3117" w:type="dxa"/>
            <w:vAlign w:val="center"/>
          </w:tcPr>
          <w:p w14:paraId="11BA31AE" w14:textId="0A6C531D" w:rsidR="00BE21BC" w:rsidRDefault="00BE21BC" w:rsidP="00CF1E8F">
            <w:pPr>
              <w:spacing w:before="40" w:after="40"/>
              <w:jc w:val="center"/>
            </w:pPr>
            <w:r w:rsidRPr="00602233">
              <w:t>↑</w:t>
            </w:r>
          </w:p>
        </w:tc>
      </w:tr>
      <w:tr w:rsidR="00BE21BC" w14:paraId="2BFDB9B0" w14:textId="77777777" w:rsidTr="00CF1E8F">
        <w:tc>
          <w:tcPr>
            <w:tcW w:w="3969" w:type="dxa"/>
            <w:vAlign w:val="center"/>
          </w:tcPr>
          <w:p w14:paraId="2A467561" w14:textId="78BD3EB2" w:rsidR="00BE21BC" w:rsidRDefault="00BE21BC" w:rsidP="00321873">
            <w:pPr>
              <w:spacing w:before="40" w:after="40"/>
            </w:pPr>
            <w:r w:rsidRPr="00602233">
              <w:t>Risks exceeding Board risk appetite</w:t>
            </w:r>
          </w:p>
        </w:tc>
        <w:tc>
          <w:tcPr>
            <w:tcW w:w="1843" w:type="dxa"/>
            <w:vAlign w:val="center"/>
          </w:tcPr>
          <w:p w14:paraId="6C11C953" w14:textId="0F1B3797" w:rsidR="00BE21BC" w:rsidRDefault="00BE21BC" w:rsidP="00CF1E8F">
            <w:pPr>
              <w:spacing w:before="40" w:after="40"/>
              <w:jc w:val="center"/>
            </w:pPr>
            <w:r w:rsidRPr="00602233">
              <w:t>1</w:t>
            </w:r>
          </w:p>
        </w:tc>
        <w:tc>
          <w:tcPr>
            <w:tcW w:w="3117" w:type="dxa"/>
            <w:vAlign w:val="center"/>
          </w:tcPr>
          <w:p w14:paraId="0165731C" w14:textId="2230582D" w:rsidR="00BE21BC" w:rsidRDefault="00BE21BC" w:rsidP="00CF1E8F">
            <w:pPr>
              <w:spacing w:before="40" w:after="40"/>
              <w:jc w:val="center"/>
            </w:pPr>
            <w:r w:rsidRPr="00602233">
              <w:t>↑</w:t>
            </w:r>
          </w:p>
        </w:tc>
      </w:tr>
    </w:tbl>
    <w:p w14:paraId="539CDA5F" w14:textId="77777777" w:rsidR="00AB62E9" w:rsidRDefault="00AB62E9" w:rsidP="00C452E2">
      <w:pPr>
        <w:spacing w:after="0"/>
      </w:pPr>
    </w:p>
    <w:p w14:paraId="623656CC" w14:textId="3B30DEE7" w:rsidR="00CB2BD2" w:rsidRPr="00C452E2" w:rsidRDefault="00CB2BD2" w:rsidP="00CF1E8F">
      <w:pPr>
        <w:ind w:left="426"/>
        <w:rPr>
          <w:i/>
          <w:iCs/>
        </w:rPr>
      </w:pPr>
      <w:r w:rsidRPr="00C452E2">
        <w:rPr>
          <w:i/>
          <w:iCs/>
        </w:rPr>
        <w:t>*The arrows shown indicate the direction of change in overall risk exposure since the previous reporting period.</w:t>
      </w:r>
      <w:r w:rsidR="00882ED9" w:rsidRPr="00C452E2">
        <w:rPr>
          <w:i/>
          <w:iCs/>
        </w:rPr>
        <w:t xml:space="preserve"> They </w:t>
      </w:r>
      <w:r w:rsidRPr="00C452E2">
        <w:rPr>
          <w:i/>
          <w:iCs/>
        </w:rPr>
        <w:t>signal whether the level of risk management attention required has increased, remained stable, or decreased</w:t>
      </w:r>
      <w:r w:rsidR="00C452E2">
        <w:rPr>
          <w:i/>
          <w:iCs/>
        </w:rPr>
        <w:t xml:space="preserve"> (t</w:t>
      </w:r>
      <w:r w:rsidR="00317F2A" w:rsidRPr="00C452E2">
        <w:rPr>
          <w:i/>
          <w:iCs/>
        </w:rPr>
        <w:t>hey do not reflect performance or progress against a plan.)</w:t>
      </w:r>
    </w:p>
    <w:p w14:paraId="528A43B9" w14:textId="13A98DFF" w:rsidR="00CB2BD2" w:rsidRPr="00CF1E8F" w:rsidRDefault="00CB2BD2" w:rsidP="00CF1E8F">
      <w:pPr>
        <w:ind w:left="426"/>
        <w:rPr>
          <w:b/>
          <w:bCs/>
          <w:u w:val="single"/>
        </w:rPr>
      </w:pPr>
      <w:r w:rsidRPr="00CF1E8F">
        <w:rPr>
          <w:b/>
          <w:bCs/>
          <w:u w:val="single"/>
        </w:rPr>
        <w:t>Arrow Legend</w:t>
      </w:r>
    </w:p>
    <w:p w14:paraId="5BFA332C" w14:textId="1BA6965E" w:rsidR="00CB2BD2" w:rsidRDefault="00C452E2" w:rsidP="00CF1E8F">
      <w:pPr>
        <w:ind w:left="426"/>
      </w:pPr>
      <w:r>
        <w:t>↑</w:t>
      </w:r>
      <w:r>
        <w:tab/>
      </w:r>
      <w:r w:rsidR="00CB2BD2" w:rsidRPr="00CF1E8F">
        <w:rPr>
          <w:b/>
          <w:bCs/>
        </w:rPr>
        <w:t>Increasing</w:t>
      </w:r>
      <w:r w:rsidR="00317F2A">
        <w:t xml:space="preserve">: </w:t>
      </w:r>
      <w:r w:rsidR="00CB2BD2">
        <w:t>Overall exposure to this type of risk has increased since the last report.</w:t>
      </w:r>
    </w:p>
    <w:p w14:paraId="4F74CFD3" w14:textId="62E244FC" w:rsidR="00CB2BD2" w:rsidRDefault="00C452E2" w:rsidP="00CF1E8F">
      <w:pPr>
        <w:ind w:left="426"/>
      </w:pPr>
      <w:r w:rsidRPr="00C452E2">
        <w:t>→</w:t>
      </w:r>
      <w:r>
        <w:tab/>
      </w:r>
      <w:r w:rsidR="00CB2BD2" w:rsidRPr="00CF1E8F">
        <w:rPr>
          <w:b/>
          <w:bCs/>
        </w:rPr>
        <w:t>Stable</w:t>
      </w:r>
      <w:r w:rsidR="00317F2A">
        <w:t xml:space="preserve">: </w:t>
      </w:r>
      <w:r w:rsidR="00CB2BD2">
        <w:t>No material change in overall exposure since the last report.</w:t>
      </w:r>
    </w:p>
    <w:p w14:paraId="11E41B28" w14:textId="3394086D" w:rsidR="00AB62E9" w:rsidRDefault="00C452E2" w:rsidP="00C452E2">
      <w:pPr>
        <w:ind w:left="716" w:hanging="290"/>
      </w:pPr>
      <w:r>
        <w:t>↓</w:t>
      </w:r>
      <w:r>
        <w:tab/>
      </w:r>
      <w:r w:rsidR="00CB2BD2" w:rsidRPr="00CF1E8F">
        <w:rPr>
          <w:b/>
          <w:bCs/>
        </w:rPr>
        <w:t>Improving</w:t>
      </w:r>
      <w:r w:rsidR="00317F2A">
        <w:t xml:space="preserve">: </w:t>
      </w:r>
      <w:r w:rsidR="00CB2BD2">
        <w:t>Overall exposure has decreased, typically due to effective controls or management actions.</w:t>
      </w:r>
    </w:p>
    <w:p w14:paraId="047F1DE1" w14:textId="4B49DFF8" w:rsidR="00AB62E9" w:rsidRDefault="00AB62E9" w:rsidP="00AB62E9">
      <w:pPr>
        <w:pStyle w:val="Heading2"/>
      </w:pPr>
      <w:r w:rsidRPr="00AB62E9">
        <w:t>Board Risk Appetite – Summary Reference</w:t>
      </w:r>
    </w:p>
    <w:p w14:paraId="61C896A0" w14:textId="6C22056F" w:rsidR="00AB62E9" w:rsidRDefault="00AB62E9" w:rsidP="00CF1E8F">
      <w:pPr>
        <w:ind w:left="426"/>
      </w:pPr>
      <w:r>
        <w:t xml:space="preserve">The </w:t>
      </w:r>
      <w:r w:rsidRPr="00783D2A">
        <w:rPr>
          <w:shd w:val="clear" w:color="auto" w:fill="FAE2D5" w:themeFill="accent2" w:themeFillTint="33"/>
        </w:rPr>
        <w:t>Board</w:t>
      </w:r>
      <w:r>
        <w:t xml:space="preserve"> has indicated a </w:t>
      </w:r>
      <w:r w:rsidRPr="00783D2A">
        <w:rPr>
          <w:shd w:val="clear" w:color="auto" w:fill="FAE2D5" w:themeFill="accent2" w:themeFillTint="33"/>
        </w:rPr>
        <w:t xml:space="preserve">low </w:t>
      </w:r>
      <w:r w:rsidR="00783D2A" w:rsidRPr="00783D2A">
        <w:rPr>
          <w:shd w:val="clear" w:color="auto" w:fill="FAE2D5" w:themeFill="accent2" w:themeFillTint="33"/>
        </w:rPr>
        <w:t>appetite</w:t>
      </w:r>
      <w:r>
        <w:t xml:space="preserve"> for risks that could:</w:t>
      </w:r>
    </w:p>
    <w:p w14:paraId="38C3C403" w14:textId="7C4E93D0" w:rsidR="00AB62E9" w:rsidRDefault="00AB62E9" w:rsidP="00CF1E8F">
      <w:pPr>
        <w:pStyle w:val="ListParagraph"/>
        <w:numPr>
          <w:ilvl w:val="0"/>
          <w:numId w:val="25"/>
        </w:numPr>
        <w:shd w:val="clear" w:color="auto" w:fill="FAE2D5" w:themeFill="accent2" w:themeFillTint="33"/>
        <w:ind w:left="1146"/>
      </w:pPr>
      <w:r>
        <w:t>Compromise student safety and well-being</w:t>
      </w:r>
    </w:p>
    <w:p w14:paraId="3C3D6D13" w14:textId="6D89892C" w:rsidR="00AB62E9" w:rsidRDefault="00AB62E9" w:rsidP="00CF1E8F">
      <w:pPr>
        <w:pStyle w:val="ListParagraph"/>
        <w:numPr>
          <w:ilvl w:val="0"/>
          <w:numId w:val="25"/>
        </w:numPr>
        <w:shd w:val="clear" w:color="auto" w:fill="FAE2D5" w:themeFill="accent2" w:themeFillTint="33"/>
        <w:ind w:left="1146"/>
      </w:pPr>
      <w:r>
        <w:t>Result in legal or regulatory non-compliance</w:t>
      </w:r>
    </w:p>
    <w:p w14:paraId="3D55A5B0" w14:textId="65DB8442" w:rsidR="00AB62E9" w:rsidRDefault="00AB62E9" w:rsidP="00CF1E8F">
      <w:pPr>
        <w:pStyle w:val="ListParagraph"/>
        <w:numPr>
          <w:ilvl w:val="0"/>
          <w:numId w:val="25"/>
        </w:numPr>
        <w:shd w:val="clear" w:color="auto" w:fill="FAE2D5" w:themeFill="accent2" w:themeFillTint="33"/>
        <w:ind w:left="1146"/>
      </w:pPr>
      <w:r>
        <w:t>Significantly disrupt continuity of learning or core operations</w:t>
      </w:r>
    </w:p>
    <w:p w14:paraId="46F8DC99" w14:textId="316DC54C" w:rsidR="00AB62E9" w:rsidRDefault="00AB62E9" w:rsidP="00CF1E8F">
      <w:pPr>
        <w:ind w:left="426"/>
      </w:pPr>
      <w:r>
        <w:t xml:space="preserve">A </w:t>
      </w:r>
      <w:r w:rsidRPr="00783D2A">
        <w:rPr>
          <w:shd w:val="clear" w:color="auto" w:fill="FAE2D5" w:themeFill="accent2" w:themeFillTint="33"/>
        </w:rPr>
        <w:t xml:space="preserve">moderate </w:t>
      </w:r>
      <w:r w:rsidR="00783D2A" w:rsidRPr="00783D2A">
        <w:rPr>
          <w:shd w:val="clear" w:color="auto" w:fill="FAE2D5" w:themeFill="accent2" w:themeFillTint="33"/>
        </w:rPr>
        <w:t>appetite</w:t>
      </w:r>
      <w:r>
        <w:t xml:space="preserve"> exists for risks related to </w:t>
      </w:r>
      <w:r w:rsidRPr="00783D2A">
        <w:rPr>
          <w:shd w:val="clear" w:color="auto" w:fill="FAE2D5" w:themeFill="accent2" w:themeFillTint="33"/>
        </w:rPr>
        <w:t>workforce sustainability, infrastructure planning, and innovation, provided those risks are actively managed and monitored</w:t>
      </w:r>
      <w:r>
        <w:t>.</w:t>
      </w:r>
    </w:p>
    <w:p w14:paraId="4DC3F2CF" w14:textId="5B36CEF9" w:rsidR="00783D2A" w:rsidRDefault="00AB62E9" w:rsidP="00CF1E8F">
      <w:pPr>
        <w:ind w:left="426"/>
      </w:pPr>
      <w:r>
        <w:t>Management has applied this guidance in determining which risks are included in this report.</w:t>
      </w:r>
    </w:p>
    <w:tbl>
      <w:tblPr>
        <w:tblStyle w:val="TableGrid"/>
        <w:tblW w:w="9350" w:type="dxa"/>
        <w:tblLook w:val="04A0" w:firstRow="1" w:lastRow="0" w:firstColumn="1" w:lastColumn="0" w:noHBand="0" w:noVBand="1"/>
      </w:tblPr>
      <w:tblGrid>
        <w:gridCol w:w="1439"/>
        <w:gridCol w:w="1439"/>
        <w:gridCol w:w="1401"/>
        <w:gridCol w:w="1129"/>
        <w:gridCol w:w="1406"/>
        <w:gridCol w:w="1139"/>
        <w:gridCol w:w="1397"/>
      </w:tblGrid>
      <w:tr w:rsidR="00783D2A" w:rsidRPr="00863E0C" w14:paraId="097BE7BD" w14:textId="77777777" w:rsidTr="00CF1E8F">
        <w:tc>
          <w:tcPr>
            <w:tcW w:w="1419" w:type="dxa"/>
            <w:shd w:val="clear" w:color="auto" w:fill="637B94"/>
            <w:vAlign w:val="center"/>
          </w:tcPr>
          <w:p w14:paraId="0C13B489" w14:textId="3A0213F3" w:rsidR="00783D2A" w:rsidRPr="00863E0C" w:rsidRDefault="00783D2A" w:rsidP="00CF1E8F">
            <w:pPr>
              <w:spacing w:before="40" w:after="40"/>
              <w:jc w:val="center"/>
              <w:rPr>
                <w:color w:val="FFFFFF" w:themeColor="background1"/>
                <w:szCs w:val="20"/>
              </w:rPr>
            </w:pPr>
            <w:r w:rsidRPr="00863E0C">
              <w:rPr>
                <w:color w:val="FFFFFF" w:themeColor="background1"/>
                <w:szCs w:val="20"/>
              </w:rPr>
              <w:t>Risk</w:t>
            </w:r>
          </w:p>
        </w:tc>
        <w:tc>
          <w:tcPr>
            <w:tcW w:w="1412" w:type="dxa"/>
            <w:shd w:val="clear" w:color="auto" w:fill="637B94"/>
            <w:vAlign w:val="center"/>
          </w:tcPr>
          <w:p w14:paraId="6B01A490" w14:textId="7CC417A2" w:rsidR="00783D2A" w:rsidRPr="00863E0C" w:rsidRDefault="00783D2A" w:rsidP="00CF1E8F">
            <w:pPr>
              <w:spacing w:before="40" w:after="40"/>
              <w:jc w:val="center"/>
              <w:rPr>
                <w:color w:val="FFFFFF" w:themeColor="background1"/>
                <w:szCs w:val="20"/>
              </w:rPr>
            </w:pPr>
            <w:r w:rsidRPr="00863E0C">
              <w:rPr>
                <w:color w:val="FFFFFF" w:themeColor="background1"/>
                <w:szCs w:val="20"/>
              </w:rPr>
              <w:t>Strategic Alignment (FESL)</w:t>
            </w:r>
          </w:p>
        </w:tc>
        <w:tc>
          <w:tcPr>
            <w:tcW w:w="1406" w:type="dxa"/>
            <w:shd w:val="clear" w:color="auto" w:fill="637B94"/>
            <w:vAlign w:val="center"/>
          </w:tcPr>
          <w:p w14:paraId="39131C61" w14:textId="09CB9133" w:rsidR="00783D2A" w:rsidRPr="00863E0C" w:rsidRDefault="00783D2A" w:rsidP="00CF1E8F">
            <w:pPr>
              <w:spacing w:before="40" w:after="40"/>
              <w:jc w:val="center"/>
              <w:rPr>
                <w:color w:val="FFFFFF" w:themeColor="background1"/>
                <w:szCs w:val="20"/>
              </w:rPr>
            </w:pPr>
            <w:commentRangeStart w:id="3"/>
            <w:r w:rsidRPr="00863E0C">
              <w:rPr>
                <w:color w:val="FFFFFF" w:themeColor="background1"/>
                <w:szCs w:val="20"/>
              </w:rPr>
              <w:t>Risk Category</w:t>
            </w:r>
            <w:commentRangeEnd w:id="3"/>
            <w:r w:rsidR="00ED04E0">
              <w:rPr>
                <w:rStyle w:val="CommentReference"/>
              </w:rPr>
              <w:commentReference w:id="3"/>
            </w:r>
          </w:p>
        </w:tc>
        <w:tc>
          <w:tcPr>
            <w:tcW w:w="1179" w:type="dxa"/>
            <w:shd w:val="clear" w:color="auto" w:fill="637B94"/>
            <w:vAlign w:val="center"/>
          </w:tcPr>
          <w:p w14:paraId="2D3476A7" w14:textId="618E01DB" w:rsidR="00783D2A" w:rsidRPr="00863E0C" w:rsidRDefault="00783D2A" w:rsidP="00CF1E8F">
            <w:pPr>
              <w:spacing w:before="40" w:after="40"/>
              <w:jc w:val="center"/>
              <w:rPr>
                <w:color w:val="FFFFFF" w:themeColor="background1"/>
                <w:szCs w:val="20"/>
              </w:rPr>
            </w:pPr>
            <w:r w:rsidRPr="00863E0C">
              <w:rPr>
                <w:color w:val="FFFFFF" w:themeColor="background1"/>
                <w:szCs w:val="20"/>
              </w:rPr>
              <w:t>Current Risk Level</w:t>
            </w:r>
          </w:p>
        </w:tc>
        <w:tc>
          <w:tcPr>
            <w:tcW w:w="1455" w:type="dxa"/>
            <w:shd w:val="clear" w:color="auto" w:fill="637B94"/>
            <w:vAlign w:val="center"/>
          </w:tcPr>
          <w:p w14:paraId="50B8AE19" w14:textId="1FEA0E78" w:rsidR="00783D2A" w:rsidRPr="00863E0C" w:rsidRDefault="00783D2A" w:rsidP="00CF1E8F">
            <w:pPr>
              <w:spacing w:before="40" w:after="40"/>
              <w:jc w:val="center"/>
              <w:rPr>
                <w:color w:val="FFFFFF" w:themeColor="background1"/>
                <w:szCs w:val="20"/>
              </w:rPr>
            </w:pPr>
            <w:r w:rsidRPr="00863E0C">
              <w:rPr>
                <w:color w:val="FFFFFF" w:themeColor="background1"/>
                <w:szCs w:val="20"/>
              </w:rPr>
              <w:t>Alignment with Board Risk Appetite</w:t>
            </w:r>
          </w:p>
        </w:tc>
        <w:tc>
          <w:tcPr>
            <w:tcW w:w="1072" w:type="dxa"/>
            <w:shd w:val="clear" w:color="auto" w:fill="637B94"/>
            <w:vAlign w:val="center"/>
          </w:tcPr>
          <w:p w14:paraId="57FBCF38" w14:textId="7139D840" w:rsidR="00783D2A" w:rsidRPr="00863E0C" w:rsidRDefault="00783D2A" w:rsidP="00CF1E8F">
            <w:pPr>
              <w:spacing w:before="40" w:after="40"/>
              <w:jc w:val="center"/>
              <w:rPr>
                <w:color w:val="FFFFFF" w:themeColor="background1"/>
                <w:szCs w:val="20"/>
              </w:rPr>
            </w:pPr>
            <w:r w:rsidRPr="00863E0C">
              <w:rPr>
                <w:color w:val="FFFFFF" w:themeColor="background1"/>
                <w:szCs w:val="20"/>
              </w:rPr>
              <w:t>Trend</w:t>
            </w:r>
          </w:p>
        </w:tc>
        <w:tc>
          <w:tcPr>
            <w:tcW w:w="1407" w:type="dxa"/>
            <w:shd w:val="clear" w:color="auto" w:fill="637B94"/>
            <w:vAlign w:val="center"/>
          </w:tcPr>
          <w:p w14:paraId="724984E3" w14:textId="5329F41A" w:rsidR="00783D2A" w:rsidRPr="00863E0C" w:rsidRDefault="00783D2A" w:rsidP="00CF1E8F">
            <w:pPr>
              <w:spacing w:before="40" w:after="40"/>
              <w:jc w:val="center"/>
              <w:rPr>
                <w:color w:val="FFFFFF" w:themeColor="background1"/>
                <w:szCs w:val="20"/>
              </w:rPr>
            </w:pPr>
            <w:r w:rsidRPr="00863E0C">
              <w:rPr>
                <w:color w:val="FFFFFF" w:themeColor="background1"/>
                <w:szCs w:val="20"/>
              </w:rPr>
              <w:t>Management Status</w:t>
            </w:r>
          </w:p>
        </w:tc>
      </w:tr>
      <w:tr w:rsidR="00863E0C" w:rsidRPr="00863E0C" w14:paraId="70523E94" w14:textId="77777777" w:rsidTr="00CF1E8F">
        <w:tc>
          <w:tcPr>
            <w:tcW w:w="1419" w:type="dxa"/>
            <w:shd w:val="clear" w:color="auto" w:fill="FAE2D5" w:themeFill="accent2" w:themeFillTint="33"/>
            <w:vAlign w:val="center"/>
          </w:tcPr>
          <w:p w14:paraId="7175E718" w14:textId="56D85C00" w:rsidR="00863E0C" w:rsidRPr="00863E0C" w:rsidRDefault="00863E0C" w:rsidP="00CF1E8F">
            <w:pPr>
              <w:spacing w:before="40" w:after="40"/>
              <w:jc w:val="center"/>
              <w:rPr>
                <w:szCs w:val="20"/>
              </w:rPr>
            </w:pPr>
            <w:r w:rsidRPr="00863E0C">
              <w:rPr>
                <w:szCs w:val="20"/>
              </w:rPr>
              <w:t>Cybersecurity Incident</w:t>
            </w:r>
          </w:p>
        </w:tc>
        <w:tc>
          <w:tcPr>
            <w:tcW w:w="1412" w:type="dxa"/>
            <w:shd w:val="clear" w:color="auto" w:fill="FAE2D5" w:themeFill="accent2" w:themeFillTint="33"/>
            <w:vAlign w:val="center"/>
          </w:tcPr>
          <w:p w14:paraId="532F6EB7" w14:textId="454E483D" w:rsidR="00863E0C" w:rsidRPr="00863E0C" w:rsidRDefault="00863E0C" w:rsidP="00CF1E8F">
            <w:pPr>
              <w:spacing w:before="40" w:after="40"/>
              <w:jc w:val="center"/>
              <w:rPr>
                <w:szCs w:val="20"/>
              </w:rPr>
            </w:pPr>
            <w:r w:rsidRPr="00863E0C">
              <w:rPr>
                <w:szCs w:val="20"/>
              </w:rPr>
              <w:t>Operational Excellence &amp; Continuity of Learning</w:t>
            </w:r>
          </w:p>
        </w:tc>
        <w:tc>
          <w:tcPr>
            <w:tcW w:w="1406" w:type="dxa"/>
            <w:shd w:val="clear" w:color="auto" w:fill="FAE2D5" w:themeFill="accent2" w:themeFillTint="33"/>
            <w:vAlign w:val="center"/>
          </w:tcPr>
          <w:p w14:paraId="5DB74B01" w14:textId="673616A3" w:rsidR="00863E0C" w:rsidRPr="00863E0C" w:rsidRDefault="00863E0C" w:rsidP="00CF1E8F">
            <w:pPr>
              <w:spacing w:before="40" w:after="40"/>
              <w:jc w:val="center"/>
              <w:rPr>
                <w:szCs w:val="20"/>
              </w:rPr>
            </w:pPr>
            <w:r w:rsidRPr="00863E0C">
              <w:rPr>
                <w:szCs w:val="20"/>
              </w:rPr>
              <w:t>Technology / Operations</w:t>
            </w:r>
          </w:p>
        </w:tc>
        <w:tc>
          <w:tcPr>
            <w:tcW w:w="1179" w:type="dxa"/>
            <w:shd w:val="clear" w:color="auto" w:fill="FAE2D5" w:themeFill="accent2" w:themeFillTint="33"/>
            <w:vAlign w:val="center"/>
          </w:tcPr>
          <w:p w14:paraId="5BC54E1D" w14:textId="210F5A30" w:rsidR="00863E0C" w:rsidRPr="00863E0C" w:rsidRDefault="00863E0C" w:rsidP="00CF1E8F">
            <w:pPr>
              <w:spacing w:before="40" w:after="40"/>
              <w:jc w:val="center"/>
              <w:rPr>
                <w:szCs w:val="20"/>
              </w:rPr>
            </w:pPr>
            <w:r w:rsidRPr="00863E0C">
              <w:rPr>
                <w:szCs w:val="20"/>
              </w:rPr>
              <w:t>High</w:t>
            </w:r>
          </w:p>
        </w:tc>
        <w:tc>
          <w:tcPr>
            <w:tcW w:w="1455" w:type="dxa"/>
            <w:shd w:val="clear" w:color="auto" w:fill="EE0000"/>
            <w:vAlign w:val="center"/>
          </w:tcPr>
          <w:p w14:paraId="3B5285D4" w14:textId="116C250E" w:rsidR="00863E0C" w:rsidRPr="00863E0C" w:rsidRDefault="00863E0C" w:rsidP="00CF1E8F">
            <w:pPr>
              <w:spacing w:before="40" w:after="40"/>
              <w:jc w:val="center"/>
              <w:rPr>
                <w:szCs w:val="20"/>
              </w:rPr>
            </w:pPr>
            <w:r w:rsidRPr="00863E0C">
              <w:rPr>
                <w:szCs w:val="20"/>
              </w:rPr>
              <w:t>Above Appetite</w:t>
            </w:r>
          </w:p>
        </w:tc>
        <w:tc>
          <w:tcPr>
            <w:tcW w:w="1072" w:type="dxa"/>
            <w:shd w:val="clear" w:color="auto" w:fill="FAE2D5" w:themeFill="accent2" w:themeFillTint="33"/>
            <w:vAlign w:val="center"/>
          </w:tcPr>
          <w:p w14:paraId="67E4E0F1" w14:textId="55CFC008" w:rsidR="00863E0C" w:rsidRPr="00863E0C" w:rsidRDefault="00863E0C" w:rsidP="00CF1E8F">
            <w:pPr>
              <w:spacing w:before="40" w:after="40"/>
              <w:jc w:val="center"/>
              <w:rPr>
                <w:szCs w:val="20"/>
              </w:rPr>
            </w:pPr>
            <w:r w:rsidRPr="00863E0C">
              <w:rPr>
                <w:szCs w:val="20"/>
              </w:rPr>
              <w:t>Increasing</w:t>
            </w:r>
          </w:p>
        </w:tc>
        <w:tc>
          <w:tcPr>
            <w:tcW w:w="1407" w:type="dxa"/>
            <w:shd w:val="clear" w:color="auto" w:fill="FAE2D5" w:themeFill="accent2" w:themeFillTint="33"/>
            <w:vAlign w:val="center"/>
          </w:tcPr>
          <w:p w14:paraId="52966FF7" w14:textId="1E06DE0E" w:rsidR="00863E0C" w:rsidRPr="00863E0C" w:rsidRDefault="00863E0C" w:rsidP="00CF1E8F">
            <w:pPr>
              <w:spacing w:before="40" w:after="40"/>
              <w:jc w:val="center"/>
              <w:rPr>
                <w:szCs w:val="20"/>
              </w:rPr>
            </w:pPr>
            <w:r w:rsidRPr="00863E0C">
              <w:rPr>
                <w:szCs w:val="20"/>
              </w:rPr>
              <w:t>Formal Risk Action Plan underway</w:t>
            </w:r>
          </w:p>
        </w:tc>
      </w:tr>
      <w:tr w:rsidR="00863E0C" w:rsidRPr="00863E0C" w14:paraId="42691C98" w14:textId="77777777" w:rsidTr="00CF1E8F">
        <w:tc>
          <w:tcPr>
            <w:tcW w:w="1419" w:type="dxa"/>
            <w:shd w:val="clear" w:color="auto" w:fill="FAE2D5" w:themeFill="accent2" w:themeFillTint="33"/>
            <w:vAlign w:val="center"/>
          </w:tcPr>
          <w:p w14:paraId="1E37AA88" w14:textId="08818F30" w:rsidR="00863E0C" w:rsidRPr="00863E0C" w:rsidRDefault="00863E0C" w:rsidP="00CF1E8F">
            <w:pPr>
              <w:spacing w:before="40" w:after="40"/>
              <w:jc w:val="center"/>
              <w:rPr>
                <w:szCs w:val="20"/>
              </w:rPr>
            </w:pPr>
            <w:r w:rsidRPr="00863E0C">
              <w:rPr>
                <w:szCs w:val="20"/>
              </w:rPr>
              <w:t>Recruitment &amp; Retention Challenges</w:t>
            </w:r>
          </w:p>
        </w:tc>
        <w:tc>
          <w:tcPr>
            <w:tcW w:w="1412" w:type="dxa"/>
            <w:shd w:val="clear" w:color="auto" w:fill="FAE2D5" w:themeFill="accent2" w:themeFillTint="33"/>
            <w:vAlign w:val="center"/>
          </w:tcPr>
          <w:p w14:paraId="5895D322" w14:textId="6D5EDE94" w:rsidR="00863E0C" w:rsidRPr="00863E0C" w:rsidRDefault="00863E0C" w:rsidP="00CF1E8F">
            <w:pPr>
              <w:spacing w:before="40" w:after="40"/>
              <w:jc w:val="center"/>
              <w:rPr>
                <w:szCs w:val="20"/>
              </w:rPr>
            </w:pPr>
            <w:r w:rsidRPr="00863E0C">
              <w:rPr>
                <w:szCs w:val="20"/>
              </w:rPr>
              <w:t>Human Capital &amp; Leadership Capacity</w:t>
            </w:r>
          </w:p>
        </w:tc>
        <w:tc>
          <w:tcPr>
            <w:tcW w:w="1406" w:type="dxa"/>
            <w:shd w:val="clear" w:color="auto" w:fill="FAE2D5" w:themeFill="accent2" w:themeFillTint="33"/>
            <w:vAlign w:val="center"/>
          </w:tcPr>
          <w:p w14:paraId="06D1B43E" w14:textId="6B8DD22B" w:rsidR="00863E0C" w:rsidRPr="00863E0C" w:rsidRDefault="00863E0C" w:rsidP="00CF1E8F">
            <w:pPr>
              <w:spacing w:before="40" w:after="40"/>
              <w:jc w:val="center"/>
              <w:rPr>
                <w:szCs w:val="20"/>
              </w:rPr>
            </w:pPr>
            <w:r w:rsidRPr="00863E0C">
              <w:rPr>
                <w:szCs w:val="20"/>
              </w:rPr>
              <w:t>People / Workforce</w:t>
            </w:r>
          </w:p>
        </w:tc>
        <w:tc>
          <w:tcPr>
            <w:tcW w:w="1179" w:type="dxa"/>
            <w:shd w:val="clear" w:color="auto" w:fill="FAE2D5" w:themeFill="accent2" w:themeFillTint="33"/>
            <w:vAlign w:val="center"/>
          </w:tcPr>
          <w:p w14:paraId="35FC6FC9" w14:textId="3AC4A5F2" w:rsidR="00863E0C" w:rsidRPr="00863E0C" w:rsidRDefault="00863E0C" w:rsidP="00CF1E8F">
            <w:pPr>
              <w:spacing w:before="40" w:after="40"/>
              <w:jc w:val="center"/>
              <w:rPr>
                <w:szCs w:val="20"/>
              </w:rPr>
            </w:pPr>
            <w:r w:rsidRPr="00863E0C">
              <w:rPr>
                <w:szCs w:val="20"/>
              </w:rPr>
              <w:t>Moderate</w:t>
            </w:r>
          </w:p>
        </w:tc>
        <w:tc>
          <w:tcPr>
            <w:tcW w:w="1455" w:type="dxa"/>
            <w:shd w:val="clear" w:color="auto" w:fill="FFFF00"/>
            <w:vAlign w:val="center"/>
          </w:tcPr>
          <w:p w14:paraId="305953E1" w14:textId="251F052A" w:rsidR="00863E0C" w:rsidRPr="00863E0C" w:rsidRDefault="00863E0C" w:rsidP="00CF1E8F">
            <w:pPr>
              <w:spacing w:before="40" w:after="40"/>
              <w:jc w:val="center"/>
              <w:rPr>
                <w:szCs w:val="20"/>
              </w:rPr>
            </w:pPr>
            <w:r w:rsidRPr="00863E0C">
              <w:rPr>
                <w:szCs w:val="20"/>
              </w:rPr>
              <w:t>Approaching Appetite</w:t>
            </w:r>
          </w:p>
        </w:tc>
        <w:tc>
          <w:tcPr>
            <w:tcW w:w="1072" w:type="dxa"/>
            <w:shd w:val="clear" w:color="auto" w:fill="FAE2D5" w:themeFill="accent2" w:themeFillTint="33"/>
            <w:vAlign w:val="center"/>
          </w:tcPr>
          <w:p w14:paraId="6DF39AC1" w14:textId="3215E457" w:rsidR="00863E0C" w:rsidRPr="00863E0C" w:rsidRDefault="00863E0C" w:rsidP="00CF1E8F">
            <w:pPr>
              <w:spacing w:before="40" w:after="40"/>
              <w:jc w:val="center"/>
              <w:rPr>
                <w:szCs w:val="20"/>
              </w:rPr>
            </w:pPr>
            <w:r w:rsidRPr="00863E0C">
              <w:rPr>
                <w:szCs w:val="20"/>
              </w:rPr>
              <w:t>Stable</w:t>
            </w:r>
          </w:p>
        </w:tc>
        <w:tc>
          <w:tcPr>
            <w:tcW w:w="1407" w:type="dxa"/>
            <w:shd w:val="clear" w:color="auto" w:fill="FAE2D5" w:themeFill="accent2" w:themeFillTint="33"/>
            <w:vAlign w:val="center"/>
          </w:tcPr>
          <w:p w14:paraId="3584CAE9" w14:textId="0CE5AD68" w:rsidR="00863E0C" w:rsidRPr="00863E0C" w:rsidRDefault="00863E0C" w:rsidP="00CF1E8F">
            <w:pPr>
              <w:spacing w:before="40" w:after="40"/>
              <w:jc w:val="center"/>
              <w:rPr>
                <w:szCs w:val="20"/>
              </w:rPr>
            </w:pPr>
            <w:r w:rsidRPr="00863E0C">
              <w:rPr>
                <w:szCs w:val="20"/>
              </w:rPr>
              <w:t>Actively monitored</w:t>
            </w:r>
          </w:p>
        </w:tc>
      </w:tr>
      <w:tr w:rsidR="00863E0C" w:rsidRPr="00863E0C" w14:paraId="581DA6F8" w14:textId="77777777" w:rsidTr="00CF1E8F">
        <w:tc>
          <w:tcPr>
            <w:tcW w:w="1419" w:type="dxa"/>
            <w:shd w:val="clear" w:color="auto" w:fill="FAE2D5" w:themeFill="accent2" w:themeFillTint="33"/>
            <w:vAlign w:val="center"/>
          </w:tcPr>
          <w:p w14:paraId="6F819E6F" w14:textId="623A336A" w:rsidR="00863E0C" w:rsidRPr="00863E0C" w:rsidRDefault="00863E0C" w:rsidP="00CF1E8F">
            <w:pPr>
              <w:spacing w:before="40" w:after="40"/>
              <w:jc w:val="center"/>
              <w:rPr>
                <w:szCs w:val="20"/>
              </w:rPr>
            </w:pPr>
            <w:r w:rsidRPr="00863E0C">
              <w:rPr>
                <w:szCs w:val="20"/>
              </w:rPr>
              <w:t>Deferred Facilities Maintenance</w:t>
            </w:r>
          </w:p>
        </w:tc>
        <w:tc>
          <w:tcPr>
            <w:tcW w:w="1412" w:type="dxa"/>
            <w:shd w:val="clear" w:color="auto" w:fill="FAE2D5" w:themeFill="accent2" w:themeFillTint="33"/>
            <w:vAlign w:val="center"/>
          </w:tcPr>
          <w:p w14:paraId="5AA7F5DE" w14:textId="6DD35208" w:rsidR="00863E0C" w:rsidRPr="00863E0C" w:rsidRDefault="00863E0C" w:rsidP="00CF1E8F">
            <w:pPr>
              <w:spacing w:before="40" w:after="40"/>
              <w:jc w:val="center"/>
              <w:rPr>
                <w:szCs w:val="20"/>
              </w:rPr>
            </w:pPr>
            <w:r w:rsidRPr="00863E0C">
              <w:rPr>
                <w:szCs w:val="20"/>
              </w:rPr>
              <w:t>Safe &amp; Caring Learning Environments</w:t>
            </w:r>
          </w:p>
        </w:tc>
        <w:tc>
          <w:tcPr>
            <w:tcW w:w="1406" w:type="dxa"/>
            <w:shd w:val="clear" w:color="auto" w:fill="FAE2D5" w:themeFill="accent2" w:themeFillTint="33"/>
            <w:vAlign w:val="center"/>
          </w:tcPr>
          <w:p w14:paraId="789034EA" w14:textId="5EFEE5A8" w:rsidR="00863E0C" w:rsidRPr="00863E0C" w:rsidRDefault="00863E0C" w:rsidP="00CF1E8F">
            <w:pPr>
              <w:spacing w:before="40" w:after="40"/>
              <w:jc w:val="center"/>
              <w:rPr>
                <w:szCs w:val="20"/>
              </w:rPr>
            </w:pPr>
            <w:r w:rsidRPr="00863E0C">
              <w:rPr>
                <w:szCs w:val="20"/>
              </w:rPr>
              <w:t>Infrastructure / Assets</w:t>
            </w:r>
          </w:p>
        </w:tc>
        <w:tc>
          <w:tcPr>
            <w:tcW w:w="1179" w:type="dxa"/>
            <w:shd w:val="clear" w:color="auto" w:fill="FAE2D5" w:themeFill="accent2" w:themeFillTint="33"/>
            <w:vAlign w:val="center"/>
          </w:tcPr>
          <w:p w14:paraId="4F4AEB18" w14:textId="73BD3552" w:rsidR="00863E0C" w:rsidRPr="00863E0C" w:rsidRDefault="00863E0C" w:rsidP="00CF1E8F">
            <w:pPr>
              <w:spacing w:before="40" w:after="40"/>
              <w:jc w:val="center"/>
              <w:rPr>
                <w:szCs w:val="20"/>
              </w:rPr>
            </w:pPr>
            <w:r w:rsidRPr="00863E0C">
              <w:rPr>
                <w:szCs w:val="20"/>
              </w:rPr>
              <w:t>High</w:t>
            </w:r>
          </w:p>
        </w:tc>
        <w:tc>
          <w:tcPr>
            <w:tcW w:w="1455" w:type="dxa"/>
            <w:shd w:val="clear" w:color="auto" w:fill="4EA72E" w:themeFill="accent6"/>
            <w:vAlign w:val="center"/>
          </w:tcPr>
          <w:p w14:paraId="0829DBC0" w14:textId="3CB37C15" w:rsidR="00863E0C" w:rsidRPr="00863E0C" w:rsidRDefault="00863E0C" w:rsidP="00CF1E8F">
            <w:pPr>
              <w:spacing w:before="40" w:after="40"/>
              <w:jc w:val="center"/>
              <w:rPr>
                <w:szCs w:val="20"/>
              </w:rPr>
            </w:pPr>
            <w:r w:rsidRPr="00863E0C">
              <w:rPr>
                <w:szCs w:val="20"/>
              </w:rPr>
              <w:t>Within Appetite</w:t>
            </w:r>
          </w:p>
        </w:tc>
        <w:tc>
          <w:tcPr>
            <w:tcW w:w="1072" w:type="dxa"/>
            <w:shd w:val="clear" w:color="auto" w:fill="FAE2D5" w:themeFill="accent2" w:themeFillTint="33"/>
            <w:vAlign w:val="center"/>
          </w:tcPr>
          <w:p w14:paraId="48E01B08" w14:textId="4CABFDAE" w:rsidR="00863E0C" w:rsidRPr="00863E0C" w:rsidRDefault="00863E0C" w:rsidP="00CF1E8F">
            <w:pPr>
              <w:spacing w:before="40" w:after="40"/>
              <w:jc w:val="center"/>
              <w:rPr>
                <w:szCs w:val="20"/>
              </w:rPr>
            </w:pPr>
            <w:r w:rsidRPr="00863E0C">
              <w:rPr>
                <w:szCs w:val="20"/>
              </w:rPr>
              <w:t>Improving</w:t>
            </w:r>
          </w:p>
        </w:tc>
        <w:tc>
          <w:tcPr>
            <w:tcW w:w="1407" w:type="dxa"/>
            <w:shd w:val="clear" w:color="auto" w:fill="FAE2D5" w:themeFill="accent2" w:themeFillTint="33"/>
            <w:vAlign w:val="center"/>
          </w:tcPr>
          <w:p w14:paraId="5879EA48" w14:textId="7D2FE40F" w:rsidR="00863E0C" w:rsidRPr="00863E0C" w:rsidRDefault="00863E0C" w:rsidP="00CF1E8F">
            <w:pPr>
              <w:spacing w:before="40" w:after="40"/>
              <w:jc w:val="center"/>
              <w:rPr>
                <w:szCs w:val="20"/>
              </w:rPr>
            </w:pPr>
            <w:r w:rsidRPr="00863E0C">
              <w:rPr>
                <w:szCs w:val="20"/>
              </w:rPr>
              <w:t>Controls effective</w:t>
            </w:r>
          </w:p>
        </w:tc>
      </w:tr>
    </w:tbl>
    <w:p w14:paraId="1B0815EE" w14:textId="77777777" w:rsidR="00AB62E9" w:rsidRDefault="00AB62E9" w:rsidP="00AB62E9"/>
    <w:p w14:paraId="42DF98A6" w14:textId="77777777" w:rsidR="00AB62E9" w:rsidRPr="00AB62E9" w:rsidRDefault="00AB62E9" w:rsidP="00321873">
      <w:pPr>
        <w:pStyle w:val="Heading2"/>
      </w:pPr>
      <w:commentRangeStart w:id="4"/>
      <w:r w:rsidRPr="00AB62E9">
        <w:lastRenderedPageBreak/>
        <w:t>Detailed Risk Overview</w:t>
      </w:r>
      <w:commentRangeEnd w:id="4"/>
      <w:r w:rsidR="005A2B28">
        <w:rPr>
          <w:rStyle w:val="CommentReference"/>
          <w:rFonts w:eastAsia="Times New Roman" w:cs="Times New Roman"/>
          <w:color w:val="auto"/>
        </w:rPr>
        <w:commentReference w:id="4"/>
      </w:r>
    </w:p>
    <w:p w14:paraId="16EFE363" w14:textId="515A2C6C" w:rsidR="00AB62E9" w:rsidRPr="00CF1E8F" w:rsidRDefault="00AB62E9" w:rsidP="00CF1E8F">
      <w:pPr>
        <w:pStyle w:val="ListParagraph"/>
        <w:numPr>
          <w:ilvl w:val="0"/>
          <w:numId w:val="26"/>
        </w:numPr>
        <w:rPr>
          <w:b/>
          <w:bCs/>
          <w:sz w:val="22"/>
          <w:szCs w:val="28"/>
        </w:rPr>
      </w:pPr>
      <w:r w:rsidRPr="00CF1E8F">
        <w:rPr>
          <w:b/>
          <w:bCs/>
          <w:sz w:val="22"/>
          <w:szCs w:val="28"/>
        </w:rPr>
        <w:t>Cybersecurity Incident</w:t>
      </w:r>
    </w:p>
    <w:p w14:paraId="046A8078" w14:textId="77777777" w:rsidR="00AB62E9" w:rsidRPr="00CF1E8F" w:rsidRDefault="00AB62E9" w:rsidP="00F61B23">
      <w:pPr>
        <w:pStyle w:val="Heading4"/>
        <w:spacing w:after="120"/>
        <w:ind w:left="720"/>
        <w:contextualSpacing/>
        <w:rPr>
          <w:rFonts w:ascii="Arial" w:hAnsi="Arial" w:cs="Arial"/>
          <w:b/>
          <w:bCs/>
          <w:color w:val="2B77B6"/>
          <w:szCs w:val="20"/>
        </w:rPr>
      </w:pPr>
      <w:r w:rsidRPr="00CF1E8F">
        <w:rPr>
          <w:rFonts w:ascii="Arial" w:hAnsi="Arial" w:cs="Arial"/>
          <w:b/>
          <w:bCs/>
          <w:color w:val="2B77B6"/>
          <w:szCs w:val="20"/>
        </w:rPr>
        <w:t>Risk Description</w:t>
      </w:r>
    </w:p>
    <w:p w14:paraId="04CF2662" w14:textId="77777777" w:rsidR="00AB62E9" w:rsidRPr="00CF1E8F" w:rsidRDefault="00AB62E9" w:rsidP="00F61B23">
      <w:pPr>
        <w:ind w:left="720"/>
        <w:contextualSpacing/>
        <w:rPr>
          <w:rFonts w:cs="Arial"/>
          <w:szCs w:val="20"/>
        </w:rPr>
      </w:pPr>
      <w:commentRangeStart w:id="5"/>
      <w:r w:rsidRPr="00CF1E8F">
        <w:rPr>
          <w:rFonts w:cs="Arial"/>
          <w:szCs w:val="20"/>
        </w:rPr>
        <w:t>There is a risk that a cybersecurity incident could disrupt district operations or compromise sensitive student or staff information, affecting continuity of learning and public confidence.</w:t>
      </w:r>
      <w:commentRangeEnd w:id="5"/>
      <w:r w:rsidR="004B35B8" w:rsidRPr="00CF1E8F">
        <w:rPr>
          <w:rStyle w:val="CommentReference"/>
          <w:rFonts w:cs="Arial"/>
          <w:sz w:val="20"/>
          <w:szCs w:val="20"/>
        </w:rPr>
        <w:commentReference w:id="5"/>
      </w:r>
    </w:p>
    <w:p w14:paraId="7040DF6E" w14:textId="5AB69E32" w:rsidR="00AB62E9" w:rsidRPr="00CF1E8F" w:rsidRDefault="00AB62E9" w:rsidP="00F61B23">
      <w:pPr>
        <w:pStyle w:val="Heading4"/>
        <w:spacing w:after="120"/>
        <w:ind w:left="720"/>
        <w:contextualSpacing/>
        <w:rPr>
          <w:rFonts w:ascii="Arial" w:hAnsi="Arial" w:cs="Arial"/>
          <w:b/>
          <w:bCs/>
          <w:color w:val="2B77B6"/>
          <w:szCs w:val="20"/>
        </w:rPr>
      </w:pPr>
      <w:r w:rsidRPr="00CF1E8F">
        <w:rPr>
          <w:rFonts w:ascii="Arial" w:hAnsi="Arial" w:cs="Arial"/>
          <w:b/>
          <w:bCs/>
          <w:color w:val="2B77B6"/>
          <w:szCs w:val="20"/>
        </w:rPr>
        <w:t>Strategic Alignment (FESL)</w:t>
      </w:r>
    </w:p>
    <w:p w14:paraId="39A16F99" w14:textId="2ADFC4C0" w:rsidR="00AB62E9" w:rsidRPr="00CF1E8F" w:rsidRDefault="00AB62E9" w:rsidP="00F61B23">
      <w:pPr>
        <w:pStyle w:val="ListParagraph"/>
        <w:numPr>
          <w:ilvl w:val="0"/>
          <w:numId w:val="2"/>
        </w:numPr>
        <w:ind w:left="1440"/>
        <w:rPr>
          <w:rFonts w:cs="Arial"/>
          <w:szCs w:val="20"/>
        </w:rPr>
      </w:pPr>
      <w:r w:rsidRPr="00CF1E8F">
        <w:rPr>
          <w:rFonts w:cs="Arial"/>
          <w:szCs w:val="20"/>
        </w:rPr>
        <w:t>Operational Excellence</w:t>
      </w:r>
    </w:p>
    <w:p w14:paraId="01430EF6" w14:textId="77777777" w:rsidR="00AB62E9" w:rsidRPr="00CF1E8F" w:rsidRDefault="00AB62E9" w:rsidP="00F61B23">
      <w:pPr>
        <w:pStyle w:val="ListParagraph"/>
        <w:numPr>
          <w:ilvl w:val="0"/>
          <w:numId w:val="2"/>
        </w:numPr>
        <w:ind w:left="1440"/>
        <w:rPr>
          <w:rFonts w:cs="Arial"/>
          <w:szCs w:val="20"/>
        </w:rPr>
      </w:pPr>
      <w:r w:rsidRPr="00CF1E8F">
        <w:rPr>
          <w:rFonts w:cs="Arial"/>
          <w:szCs w:val="20"/>
        </w:rPr>
        <w:t>Continuity of Learning Environments</w:t>
      </w:r>
    </w:p>
    <w:p w14:paraId="27893C31" w14:textId="658BB265" w:rsidR="00AB62E9" w:rsidRPr="00CF1E8F" w:rsidRDefault="00AB62E9" w:rsidP="00F61B23">
      <w:pPr>
        <w:pStyle w:val="Heading4"/>
        <w:spacing w:after="120"/>
        <w:ind w:left="720"/>
        <w:contextualSpacing/>
        <w:rPr>
          <w:rFonts w:ascii="Arial" w:hAnsi="Arial" w:cs="Arial"/>
          <w:b/>
          <w:bCs/>
          <w:color w:val="2B77B6"/>
          <w:szCs w:val="20"/>
        </w:rPr>
      </w:pPr>
      <w:r w:rsidRPr="00CF1E8F">
        <w:rPr>
          <w:rFonts w:ascii="Arial" w:hAnsi="Arial" w:cs="Arial"/>
          <w:b/>
          <w:bCs/>
          <w:color w:val="2B77B6"/>
          <w:szCs w:val="20"/>
        </w:rPr>
        <w:t>Current Status</w:t>
      </w:r>
    </w:p>
    <w:p w14:paraId="56D6D999" w14:textId="5E14A78C" w:rsidR="00AB62E9" w:rsidRPr="00C452E2" w:rsidRDefault="00AB62E9" w:rsidP="00C452E2">
      <w:pPr>
        <w:pStyle w:val="ListParagraph"/>
        <w:numPr>
          <w:ilvl w:val="0"/>
          <w:numId w:val="29"/>
        </w:numPr>
        <w:rPr>
          <w:rFonts w:cs="Arial"/>
          <w:szCs w:val="20"/>
        </w:rPr>
      </w:pPr>
      <w:r w:rsidRPr="00C452E2">
        <w:rPr>
          <w:rFonts w:cs="Arial"/>
          <w:szCs w:val="20"/>
        </w:rPr>
        <w:t>Overall risk level is assessed as High</w:t>
      </w:r>
      <w:r w:rsidR="00CE4120">
        <w:rPr>
          <w:rFonts w:cs="Arial"/>
          <w:szCs w:val="20"/>
        </w:rPr>
        <w:t>.</w:t>
      </w:r>
    </w:p>
    <w:p w14:paraId="7CF2D13A" w14:textId="596C949A" w:rsidR="00AB62E9" w:rsidRPr="00C452E2" w:rsidRDefault="00AB62E9" w:rsidP="00C452E2">
      <w:pPr>
        <w:pStyle w:val="ListParagraph"/>
        <w:numPr>
          <w:ilvl w:val="0"/>
          <w:numId w:val="29"/>
        </w:numPr>
        <w:rPr>
          <w:rFonts w:cs="Arial"/>
          <w:szCs w:val="20"/>
        </w:rPr>
      </w:pPr>
      <w:r w:rsidRPr="00C452E2">
        <w:rPr>
          <w:rFonts w:cs="Arial"/>
          <w:szCs w:val="20"/>
        </w:rPr>
        <w:t>This risk currently exceeds the Board’s stated tolerance for operational disruption and data protection risks</w:t>
      </w:r>
      <w:r w:rsidR="00CE4120">
        <w:rPr>
          <w:rFonts w:cs="Arial"/>
          <w:szCs w:val="20"/>
        </w:rPr>
        <w:t>.</w:t>
      </w:r>
    </w:p>
    <w:p w14:paraId="26005FB5" w14:textId="3B47B2D2" w:rsidR="00AB62E9" w:rsidRPr="00CF1E8F" w:rsidRDefault="00AB62E9" w:rsidP="00F61B23">
      <w:pPr>
        <w:pStyle w:val="Heading4"/>
        <w:spacing w:after="120"/>
        <w:ind w:left="720"/>
        <w:contextualSpacing/>
        <w:rPr>
          <w:rFonts w:ascii="Arial" w:hAnsi="Arial" w:cs="Arial"/>
          <w:b/>
          <w:bCs/>
          <w:color w:val="2B77B6"/>
          <w:szCs w:val="20"/>
        </w:rPr>
      </w:pPr>
      <w:r w:rsidRPr="00CF1E8F">
        <w:rPr>
          <w:rFonts w:ascii="Arial" w:hAnsi="Arial" w:cs="Arial"/>
          <w:b/>
          <w:bCs/>
          <w:color w:val="2B77B6"/>
          <w:szCs w:val="20"/>
        </w:rPr>
        <w:t>Management Response</w:t>
      </w:r>
    </w:p>
    <w:p w14:paraId="62B1000C" w14:textId="48A3EBDE" w:rsidR="00AB62E9" w:rsidRPr="00CF1E8F" w:rsidRDefault="00AB62E9" w:rsidP="00F61B23">
      <w:pPr>
        <w:pStyle w:val="ListParagraph"/>
        <w:numPr>
          <w:ilvl w:val="0"/>
          <w:numId w:val="1"/>
        </w:numPr>
        <w:ind w:left="1440"/>
        <w:rPr>
          <w:rFonts w:cs="Arial"/>
          <w:szCs w:val="20"/>
        </w:rPr>
      </w:pPr>
      <w:r w:rsidRPr="00CF1E8F">
        <w:rPr>
          <w:rFonts w:cs="Arial"/>
          <w:szCs w:val="20"/>
        </w:rPr>
        <w:t>Enhanced cybersecurity controls are being implemented</w:t>
      </w:r>
    </w:p>
    <w:p w14:paraId="49289FFD" w14:textId="539C8BB9" w:rsidR="00AB62E9" w:rsidRPr="00CF1E8F" w:rsidRDefault="00AB62E9" w:rsidP="00F61B23">
      <w:pPr>
        <w:pStyle w:val="ListParagraph"/>
        <w:numPr>
          <w:ilvl w:val="0"/>
          <w:numId w:val="1"/>
        </w:numPr>
        <w:ind w:left="1440"/>
        <w:rPr>
          <w:rFonts w:cs="Arial"/>
          <w:szCs w:val="20"/>
        </w:rPr>
      </w:pPr>
      <w:r w:rsidRPr="00CF1E8F">
        <w:rPr>
          <w:rFonts w:cs="Arial"/>
          <w:szCs w:val="20"/>
        </w:rPr>
        <w:t>Incident response procedures are being updated</w:t>
      </w:r>
    </w:p>
    <w:p w14:paraId="14500B60" w14:textId="62ABAAEE" w:rsidR="00AB62E9" w:rsidRPr="00CF1E8F" w:rsidRDefault="00AB62E9" w:rsidP="00F61B23">
      <w:pPr>
        <w:pStyle w:val="ListParagraph"/>
        <w:numPr>
          <w:ilvl w:val="0"/>
          <w:numId w:val="1"/>
        </w:numPr>
        <w:ind w:left="1440"/>
        <w:rPr>
          <w:rFonts w:cs="Arial"/>
          <w:szCs w:val="20"/>
        </w:rPr>
      </w:pPr>
      <w:r w:rsidRPr="00CF1E8F">
        <w:rPr>
          <w:rFonts w:cs="Arial"/>
          <w:szCs w:val="20"/>
        </w:rPr>
        <w:t>Additional staff awareness training is planned</w:t>
      </w:r>
    </w:p>
    <w:p w14:paraId="38C57406" w14:textId="4B64856E" w:rsidR="00AB62E9" w:rsidRPr="00CF1E8F" w:rsidRDefault="00AB62E9" w:rsidP="00F61B23">
      <w:pPr>
        <w:ind w:left="720"/>
        <w:contextualSpacing/>
        <w:rPr>
          <w:b/>
          <w:bCs/>
          <w:color w:val="0E2841" w:themeColor="text2"/>
          <w:u w:val="single"/>
        </w:rPr>
      </w:pPr>
      <w:r w:rsidRPr="00CF1E8F">
        <w:rPr>
          <w:b/>
          <w:bCs/>
          <w:color w:val="0E2841" w:themeColor="text2"/>
          <w:u w:val="single"/>
        </w:rPr>
        <w:t>Board Role</w:t>
      </w:r>
    </w:p>
    <w:p w14:paraId="5F0B6188" w14:textId="5A4CD006" w:rsidR="00393F2E" w:rsidRDefault="00AB62E9" w:rsidP="00F61B23">
      <w:pPr>
        <w:pStyle w:val="ListParagraph"/>
        <w:numPr>
          <w:ilvl w:val="0"/>
          <w:numId w:val="3"/>
        </w:numPr>
        <w:ind w:left="1440"/>
      </w:pPr>
      <w:r>
        <w:t xml:space="preserve">Board awareness </w:t>
      </w:r>
      <w:r w:rsidR="00D10279">
        <w:t>that this risk currently exceeds the Board-approved risk appetite</w:t>
      </w:r>
      <w:r w:rsidR="00393F2E">
        <w:t>; and</w:t>
      </w:r>
    </w:p>
    <w:p w14:paraId="11DAFA84" w14:textId="6075D546" w:rsidR="007C62B6" w:rsidRDefault="00DC65C6" w:rsidP="00F61B23">
      <w:pPr>
        <w:pStyle w:val="ListParagraph"/>
        <w:numPr>
          <w:ilvl w:val="0"/>
          <w:numId w:val="3"/>
        </w:numPr>
        <w:ind w:left="1440"/>
      </w:pPr>
      <w:commentRangeStart w:id="6"/>
      <w:r w:rsidRPr="00C465DF">
        <w:rPr>
          <w:u w:val="single"/>
        </w:rPr>
        <w:t>Endorse management</w:t>
      </w:r>
      <w:r w:rsidR="00CB0D5F" w:rsidRPr="00C465DF">
        <w:rPr>
          <w:u w:val="single"/>
        </w:rPr>
        <w:t xml:space="preserve"> </w:t>
      </w:r>
      <w:r w:rsidRPr="00C465DF">
        <w:rPr>
          <w:u w:val="single"/>
        </w:rPr>
        <w:t xml:space="preserve">to bring forward a resourcing proposal </w:t>
      </w:r>
      <w:r w:rsidR="00253937" w:rsidRPr="00C465DF">
        <w:rPr>
          <w:u w:val="single"/>
        </w:rPr>
        <w:t>to bring this risk within the Board-approved risk appetite</w:t>
      </w:r>
      <w:r w:rsidR="00253937">
        <w:t>.</w:t>
      </w:r>
      <w:commentRangeEnd w:id="6"/>
      <w:r w:rsidR="00A37781">
        <w:rPr>
          <w:rStyle w:val="CommentReference"/>
        </w:rPr>
        <w:commentReference w:id="6"/>
      </w:r>
    </w:p>
    <w:p w14:paraId="789C90ED" w14:textId="77777777" w:rsidR="00F61B23" w:rsidRDefault="00F61B23" w:rsidP="00F61B23">
      <w:pPr>
        <w:pStyle w:val="ListParagraph"/>
        <w:ind w:left="1440"/>
      </w:pPr>
    </w:p>
    <w:p w14:paraId="1A7962A2" w14:textId="035FB268" w:rsidR="00AB62E9" w:rsidRPr="00F61B23" w:rsidRDefault="00AB62E9" w:rsidP="00CF1E8F">
      <w:pPr>
        <w:pStyle w:val="ListParagraph"/>
        <w:numPr>
          <w:ilvl w:val="0"/>
          <w:numId w:val="26"/>
        </w:numPr>
        <w:rPr>
          <w:b/>
          <w:bCs/>
          <w:sz w:val="24"/>
          <w:szCs w:val="32"/>
        </w:rPr>
      </w:pPr>
      <w:r w:rsidRPr="00F61B23">
        <w:rPr>
          <w:b/>
          <w:bCs/>
          <w:sz w:val="22"/>
          <w:szCs w:val="28"/>
        </w:rPr>
        <w:t>Recruitment and Retention Challenges</w:t>
      </w:r>
    </w:p>
    <w:p w14:paraId="3DC9B12D" w14:textId="77777777" w:rsidR="00AB62E9" w:rsidRPr="00F61B23" w:rsidRDefault="00AB62E9" w:rsidP="00F61B23">
      <w:pPr>
        <w:pStyle w:val="Heading4"/>
        <w:ind w:left="720"/>
        <w:rPr>
          <w:b/>
          <w:bCs/>
          <w:color w:val="2B77B6"/>
        </w:rPr>
      </w:pPr>
      <w:r w:rsidRPr="00F61B23">
        <w:rPr>
          <w:b/>
          <w:bCs/>
          <w:color w:val="2B77B6"/>
        </w:rPr>
        <w:t>Risk Description</w:t>
      </w:r>
    </w:p>
    <w:p w14:paraId="522D46BB" w14:textId="3AA5FE65" w:rsidR="00AB62E9" w:rsidRDefault="00AB62E9" w:rsidP="00F61B23">
      <w:pPr>
        <w:ind w:left="720"/>
      </w:pPr>
      <w:r>
        <w:t>There is a risk that challenges in recruiting and retaining qualified staff could affect program delivery, service continuity, and organizational capacity.</w:t>
      </w:r>
    </w:p>
    <w:p w14:paraId="38F81857" w14:textId="6A5FAD51" w:rsidR="00AB62E9" w:rsidRPr="00F61B23" w:rsidRDefault="00AB62E9" w:rsidP="00F61B23">
      <w:pPr>
        <w:pStyle w:val="Heading4"/>
        <w:ind w:left="720"/>
        <w:rPr>
          <w:b/>
          <w:bCs/>
          <w:color w:val="2B77B6"/>
        </w:rPr>
      </w:pPr>
      <w:r w:rsidRPr="00F61B23">
        <w:rPr>
          <w:b/>
          <w:bCs/>
          <w:color w:val="2B77B6"/>
        </w:rPr>
        <w:t>Strategic Alignment (FESL)</w:t>
      </w:r>
    </w:p>
    <w:p w14:paraId="16DFBFEB" w14:textId="7388ECE4" w:rsidR="00AB62E9" w:rsidRDefault="00AB62E9" w:rsidP="00F61B23">
      <w:pPr>
        <w:pStyle w:val="ListParagraph"/>
        <w:numPr>
          <w:ilvl w:val="0"/>
          <w:numId w:val="4"/>
        </w:numPr>
        <w:ind w:left="1440"/>
      </w:pPr>
      <w:r>
        <w:t>Human Capital</w:t>
      </w:r>
    </w:p>
    <w:p w14:paraId="3FE1856B" w14:textId="1E6DA698" w:rsidR="00AB62E9" w:rsidRDefault="00AB62E9" w:rsidP="00F61B23">
      <w:pPr>
        <w:pStyle w:val="ListParagraph"/>
        <w:numPr>
          <w:ilvl w:val="0"/>
          <w:numId w:val="4"/>
        </w:numPr>
        <w:ind w:left="1440"/>
      </w:pPr>
      <w:r>
        <w:t>Leadership and Organizational Capacity</w:t>
      </w:r>
    </w:p>
    <w:p w14:paraId="1E35B8A8" w14:textId="734B3062" w:rsidR="00AB62E9" w:rsidRPr="00F61B23" w:rsidRDefault="00AB62E9" w:rsidP="00F61B23">
      <w:pPr>
        <w:pStyle w:val="Heading4"/>
        <w:ind w:left="720"/>
        <w:rPr>
          <w:b/>
          <w:bCs/>
          <w:color w:val="2B77B6"/>
        </w:rPr>
      </w:pPr>
      <w:r w:rsidRPr="00F61B23">
        <w:rPr>
          <w:b/>
          <w:bCs/>
          <w:color w:val="2B77B6"/>
        </w:rPr>
        <w:t>Current Status</w:t>
      </w:r>
    </w:p>
    <w:p w14:paraId="7D7D3735" w14:textId="29B3496D" w:rsidR="00AB62E9" w:rsidRDefault="00AB62E9" w:rsidP="00C452E2">
      <w:pPr>
        <w:pStyle w:val="ListParagraph"/>
        <w:numPr>
          <w:ilvl w:val="0"/>
          <w:numId w:val="30"/>
        </w:numPr>
      </w:pPr>
      <w:r>
        <w:t>Overall risk level is assessed as Moderate</w:t>
      </w:r>
      <w:r w:rsidR="00A37781">
        <w:t>; however, t</w:t>
      </w:r>
      <w:r>
        <w:t>his risk is approaching the Board’s tolerance for workforce-related risks</w:t>
      </w:r>
      <w:r w:rsidR="00CE4120">
        <w:t>.</w:t>
      </w:r>
    </w:p>
    <w:p w14:paraId="0C127CCB" w14:textId="24CF7D71" w:rsidR="00AB62E9" w:rsidRPr="00F61B23" w:rsidRDefault="00AB62E9" w:rsidP="00F61B23">
      <w:pPr>
        <w:pStyle w:val="Heading4"/>
        <w:ind w:left="720"/>
        <w:rPr>
          <w:b/>
          <w:bCs/>
          <w:color w:val="2B77B6"/>
        </w:rPr>
      </w:pPr>
      <w:r w:rsidRPr="00F61B23">
        <w:rPr>
          <w:b/>
          <w:bCs/>
          <w:color w:val="2B77B6"/>
        </w:rPr>
        <w:t>Management Response</w:t>
      </w:r>
    </w:p>
    <w:p w14:paraId="05744F5B" w14:textId="470C21A1" w:rsidR="00AB62E9" w:rsidRDefault="00AB62E9" w:rsidP="00F61B23">
      <w:pPr>
        <w:pStyle w:val="ListParagraph"/>
        <w:numPr>
          <w:ilvl w:val="0"/>
          <w:numId w:val="5"/>
        </w:numPr>
        <w:ind w:left="1440"/>
      </w:pPr>
      <w:r>
        <w:t>Ongoing workforce planning</w:t>
      </w:r>
    </w:p>
    <w:p w14:paraId="7418BE91" w14:textId="37730591" w:rsidR="00AB62E9" w:rsidRDefault="00AB62E9" w:rsidP="00F61B23">
      <w:pPr>
        <w:pStyle w:val="ListParagraph"/>
        <w:numPr>
          <w:ilvl w:val="0"/>
          <w:numId w:val="5"/>
        </w:numPr>
        <w:ind w:left="1440"/>
      </w:pPr>
      <w:r>
        <w:t>Monitoring vacancy and turnover trends</w:t>
      </w:r>
    </w:p>
    <w:p w14:paraId="4CA82313" w14:textId="4C4A7ADE" w:rsidR="00AB62E9" w:rsidRDefault="00AB62E9" w:rsidP="00F61B23">
      <w:pPr>
        <w:pStyle w:val="ListParagraph"/>
        <w:numPr>
          <w:ilvl w:val="0"/>
          <w:numId w:val="5"/>
        </w:numPr>
        <w:ind w:left="1440"/>
      </w:pPr>
      <w:r>
        <w:t>Use of temporary staffing and shared services where required</w:t>
      </w:r>
    </w:p>
    <w:p w14:paraId="319101CD" w14:textId="0A7D06B6" w:rsidR="00AB62E9" w:rsidRPr="00F61B23" w:rsidRDefault="00AB62E9" w:rsidP="00F61B23">
      <w:pPr>
        <w:pStyle w:val="Heading3"/>
        <w:ind w:left="720"/>
      </w:pPr>
      <w:r w:rsidRPr="00F61B23">
        <w:t>Board Role</w:t>
      </w:r>
    </w:p>
    <w:p w14:paraId="435FF2D1" w14:textId="77777777" w:rsidR="00A37781" w:rsidRDefault="00A37781" w:rsidP="00F61B23">
      <w:pPr>
        <w:pStyle w:val="ListParagraph"/>
        <w:numPr>
          <w:ilvl w:val="0"/>
          <w:numId w:val="6"/>
        </w:numPr>
        <w:ind w:left="1440"/>
      </w:pPr>
      <w:r>
        <w:t>Awareness</w:t>
      </w:r>
      <w:r w:rsidR="00AB62E9">
        <w:t xml:space="preserve"> and ongoing oversight</w:t>
      </w:r>
      <w:r>
        <w:t xml:space="preserve">. </w:t>
      </w:r>
    </w:p>
    <w:p w14:paraId="711A52AB" w14:textId="3E4E9734" w:rsidR="00F61B23" w:rsidRDefault="00A37781" w:rsidP="00F61B23">
      <w:pPr>
        <w:pStyle w:val="ListParagraph"/>
        <w:numPr>
          <w:ilvl w:val="0"/>
          <w:numId w:val="6"/>
        </w:numPr>
        <w:ind w:left="1440"/>
      </w:pPr>
      <w:r>
        <w:t>No decisions required at this time.</w:t>
      </w:r>
    </w:p>
    <w:p w14:paraId="623E254B" w14:textId="77777777" w:rsidR="00F61B23" w:rsidRPr="00F61B23" w:rsidRDefault="00F61B23" w:rsidP="00F61B23">
      <w:pPr>
        <w:rPr>
          <w:b/>
          <w:bCs/>
          <w:sz w:val="24"/>
          <w:szCs w:val="32"/>
        </w:rPr>
      </w:pPr>
    </w:p>
    <w:p w14:paraId="2B364D28" w14:textId="5A206686" w:rsidR="00AB62E9" w:rsidRPr="00F61B23" w:rsidRDefault="00AB62E9" w:rsidP="00F61B23">
      <w:pPr>
        <w:pStyle w:val="ListParagraph"/>
        <w:numPr>
          <w:ilvl w:val="0"/>
          <w:numId w:val="26"/>
        </w:numPr>
        <w:rPr>
          <w:b/>
          <w:bCs/>
          <w:sz w:val="28"/>
          <w:szCs w:val="36"/>
        </w:rPr>
      </w:pPr>
      <w:r w:rsidRPr="00F61B23">
        <w:rPr>
          <w:b/>
          <w:bCs/>
          <w:sz w:val="22"/>
          <w:szCs w:val="28"/>
        </w:rPr>
        <w:t>Deferred Facilities Maintenance</w:t>
      </w:r>
    </w:p>
    <w:p w14:paraId="338AA62D" w14:textId="77777777" w:rsidR="00AB62E9" w:rsidRPr="00F61B23" w:rsidRDefault="00AB62E9" w:rsidP="00F61B23">
      <w:pPr>
        <w:pStyle w:val="Heading4"/>
        <w:ind w:left="720"/>
        <w:rPr>
          <w:rFonts w:ascii="Arial" w:hAnsi="Arial" w:cs="Arial"/>
          <w:b/>
          <w:bCs/>
          <w:color w:val="2B77B6"/>
        </w:rPr>
      </w:pPr>
      <w:r w:rsidRPr="00F61B23">
        <w:rPr>
          <w:rFonts w:ascii="Arial" w:hAnsi="Arial" w:cs="Arial"/>
          <w:b/>
          <w:bCs/>
          <w:color w:val="2B77B6"/>
        </w:rPr>
        <w:t>Risk Description</w:t>
      </w:r>
    </w:p>
    <w:p w14:paraId="6915EAC1" w14:textId="77777777" w:rsidR="00AB62E9" w:rsidRDefault="00AB62E9" w:rsidP="00F61B23">
      <w:pPr>
        <w:ind w:left="720"/>
      </w:pPr>
      <w:r>
        <w:t>There is a risk that deferred maintenance of district facilities could affect the safety and functionality of learning environments if not managed over time.</w:t>
      </w:r>
    </w:p>
    <w:p w14:paraId="422F56E8" w14:textId="6C0E6A15" w:rsidR="00AB62E9" w:rsidRPr="00F61B23" w:rsidRDefault="00AB62E9" w:rsidP="00F61B23">
      <w:pPr>
        <w:pStyle w:val="Heading4"/>
        <w:ind w:left="720"/>
        <w:rPr>
          <w:rFonts w:ascii="Arial" w:hAnsi="Arial" w:cs="Arial"/>
          <w:b/>
          <w:bCs/>
          <w:color w:val="2B77B6"/>
        </w:rPr>
      </w:pPr>
      <w:r w:rsidRPr="00F61B23">
        <w:rPr>
          <w:rFonts w:ascii="Arial" w:hAnsi="Arial" w:cs="Arial"/>
          <w:b/>
          <w:bCs/>
          <w:color w:val="2B77B6"/>
        </w:rPr>
        <w:t>Strategic Alignment (FESL)</w:t>
      </w:r>
    </w:p>
    <w:p w14:paraId="20AE209C" w14:textId="00089C26" w:rsidR="00AB62E9" w:rsidRDefault="00AB62E9" w:rsidP="00F61B23">
      <w:pPr>
        <w:pStyle w:val="ListParagraph"/>
        <w:numPr>
          <w:ilvl w:val="0"/>
          <w:numId w:val="6"/>
        </w:numPr>
        <w:ind w:left="1440"/>
      </w:pPr>
      <w:r>
        <w:t>Safe and Caring Learning Environments</w:t>
      </w:r>
    </w:p>
    <w:p w14:paraId="5325B63F" w14:textId="77777777" w:rsidR="00AB62E9" w:rsidRDefault="00AB62E9" w:rsidP="00F61B23">
      <w:pPr>
        <w:pStyle w:val="ListParagraph"/>
        <w:numPr>
          <w:ilvl w:val="0"/>
          <w:numId w:val="6"/>
        </w:numPr>
        <w:ind w:left="1440"/>
      </w:pPr>
      <w:r>
        <w:t>Stewardship of Public Assets</w:t>
      </w:r>
    </w:p>
    <w:p w14:paraId="0A523606" w14:textId="5D60D86D" w:rsidR="00AB62E9" w:rsidRPr="00F61B23" w:rsidRDefault="00AB62E9" w:rsidP="00F61B23">
      <w:pPr>
        <w:pStyle w:val="Heading4"/>
        <w:ind w:left="720"/>
        <w:rPr>
          <w:rFonts w:ascii="Arial" w:hAnsi="Arial" w:cs="Arial"/>
          <w:b/>
          <w:bCs/>
          <w:color w:val="2B77B6"/>
        </w:rPr>
      </w:pPr>
      <w:r w:rsidRPr="00F61B23">
        <w:rPr>
          <w:rFonts w:ascii="Arial" w:hAnsi="Arial" w:cs="Arial"/>
          <w:b/>
          <w:bCs/>
          <w:color w:val="2B77B6"/>
        </w:rPr>
        <w:t>Current Status</w:t>
      </w:r>
    </w:p>
    <w:p w14:paraId="0A92F591" w14:textId="5504C928" w:rsidR="00AB62E9" w:rsidRDefault="00AB62E9" w:rsidP="00F61B23">
      <w:pPr>
        <w:pStyle w:val="ListParagraph"/>
        <w:numPr>
          <w:ilvl w:val="0"/>
          <w:numId w:val="21"/>
        </w:numPr>
        <w:ind w:left="1440"/>
      </w:pPr>
      <w:r>
        <w:t>Overall risk level is assessed as High</w:t>
      </w:r>
      <w:r w:rsidR="00A37781">
        <w:t>.</w:t>
      </w:r>
    </w:p>
    <w:p w14:paraId="42E38448" w14:textId="33A5DFFE" w:rsidR="00AB62E9" w:rsidRDefault="00AB62E9" w:rsidP="00F61B23">
      <w:pPr>
        <w:pStyle w:val="ListParagraph"/>
        <w:numPr>
          <w:ilvl w:val="0"/>
          <w:numId w:val="21"/>
        </w:numPr>
        <w:ind w:left="1440"/>
      </w:pPr>
      <w:r>
        <w:t>Risk remains within the Board’s tolerance due to existing controls</w:t>
      </w:r>
      <w:r w:rsidR="00A37781">
        <w:t>.</w:t>
      </w:r>
    </w:p>
    <w:p w14:paraId="66AA388A" w14:textId="4453E10E" w:rsidR="00AB62E9" w:rsidRPr="00F61B23" w:rsidRDefault="00AB62E9" w:rsidP="00F61B23">
      <w:pPr>
        <w:pStyle w:val="Heading4"/>
        <w:ind w:left="720"/>
        <w:rPr>
          <w:rFonts w:ascii="Arial" w:hAnsi="Arial" w:cs="Arial"/>
          <w:b/>
          <w:bCs/>
          <w:color w:val="2B77B6"/>
        </w:rPr>
      </w:pPr>
      <w:r w:rsidRPr="00F61B23">
        <w:rPr>
          <w:rFonts w:ascii="Arial" w:hAnsi="Arial" w:cs="Arial"/>
          <w:b/>
          <w:bCs/>
          <w:color w:val="2B77B6"/>
        </w:rPr>
        <w:t>Management Response</w:t>
      </w:r>
    </w:p>
    <w:p w14:paraId="03B233BB" w14:textId="60EDAD4D" w:rsidR="00AB62E9" w:rsidRDefault="00AB62E9" w:rsidP="00F61B23">
      <w:pPr>
        <w:pStyle w:val="ListParagraph"/>
        <w:numPr>
          <w:ilvl w:val="0"/>
          <w:numId w:val="7"/>
        </w:numPr>
        <w:ind w:left="1440"/>
      </w:pPr>
      <w:r>
        <w:t>Long-term facilities planning in place</w:t>
      </w:r>
    </w:p>
    <w:p w14:paraId="07A9D0ED" w14:textId="191E4D4C" w:rsidR="00AB62E9" w:rsidRDefault="00AB62E9" w:rsidP="00F61B23">
      <w:pPr>
        <w:pStyle w:val="ListParagraph"/>
        <w:numPr>
          <w:ilvl w:val="0"/>
          <w:numId w:val="7"/>
        </w:numPr>
        <w:ind w:left="1440"/>
      </w:pPr>
      <w:r>
        <w:t>Preventative maintenance programs ongoing</w:t>
      </w:r>
    </w:p>
    <w:p w14:paraId="18C0B6F1" w14:textId="77777777" w:rsidR="00AB62E9" w:rsidRDefault="00AB62E9" w:rsidP="00F61B23">
      <w:pPr>
        <w:pStyle w:val="ListParagraph"/>
        <w:numPr>
          <w:ilvl w:val="0"/>
          <w:numId w:val="7"/>
        </w:numPr>
        <w:ind w:left="1440"/>
      </w:pPr>
      <w:r>
        <w:t>Capital priorities monitored regularly</w:t>
      </w:r>
    </w:p>
    <w:p w14:paraId="73D76C74" w14:textId="6D172683" w:rsidR="00AB62E9" w:rsidRDefault="00AB62E9" w:rsidP="00F61B23">
      <w:pPr>
        <w:pStyle w:val="Heading3"/>
        <w:ind w:left="720"/>
      </w:pPr>
      <w:r>
        <w:t>Board Role</w:t>
      </w:r>
    </w:p>
    <w:p w14:paraId="0AA0A6F1" w14:textId="27701D13" w:rsidR="00AB62E9" w:rsidRDefault="00AB62E9" w:rsidP="00AB62E9">
      <w:pPr>
        <w:pStyle w:val="ListParagraph"/>
        <w:numPr>
          <w:ilvl w:val="0"/>
          <w:numId w:val="8"/>
        </w:numPr>
        <w:ind w:left="1440"/>
      </w:pPr>
      <w:r>
        <w:t>No action required at this time</w:t>
      </w:r>
    </w:p>
    <w:p w14:paraId="0A855E6E" w14:textId="3B37AAFE" w:rsidR="00AB62E9" w:rsidRPr="00F61B23" w:rsidRDefault="00BA58B4" w:rsidP="00AB62E9">
      <w:pPr>
        <w:rPr>
          <w:b/>
          <w:bCs/>
          <w:sz w:val="24"/>
          <w:szCs w:val="32"/>
        </w:rPr>
      </w:pPr>
      <w:r w:rsidRPr="00F61B23">
        <w:rPr>
          <w:b/>
          <w:bCs/>
          <w:sz w:val="24"/>
          <w:szCs w:val="32"/>
        </w:rPr>
        <w:t>Summary</w:t>
      </w:r>
    </w:p>
    <w:p w14:paraId="45499198" w14:textId="61A7A7B1" w:rsidR="008C23FB" w:rsidRDefault="008C23FB" w:rsidP="008C23FB">
      <w:r>
        <w:t>Management is actively using the ERM Framework and Board-approved risk appetite to guide risk identification, prioritization, and response.</w:t>
      </w:r>
    </w:p>
    <w:p w14:paraId="25DBF0F4" w14:textId="77D90DD6" w:rsidR="008C23FB" w:rsidRDefault="008C23FB" w:rsidP="00F61B23">
      <w:pPr>
        <w:shd w:val="clear" w:color="auto" w:fill="FAE2D5" w:themeFill="accent2" w:themeFillTint="33"/>
      </w:pPr>
      <w:r>
        <w:t xml:space="preserve">One risk (Cybersecurity) currently exceeds the Board’s approved risk appetite. </w:t>
      </w:r>
      <w:r w:rsidRPr="008C23FB">
        <w:rPr>
          <w:b/>
          <w:bCs/>
        </w:rPr>
        <w:t>Management is requesting the Board’s endorsement to proceed with the development of a detailed management plan to address this elevated risk.</w:t>
      </w:r>
    </w:p>
    <w:p w14:paraId="3EF2ACD0" w14:textId="131839DF" w:rsidR="00F61B23" w:rsidRPr="00CE4120" w:rsidRDefault="008C23FB" w:rsidP="00AB62E9">
      <w:r>
        <w:t>The remaining priority risks are being actively managed and monitored within acceptable tolerance levels.</w:t>
      </w:r>
    </w:p>
    <w:p w14:paraId="580C5ED9" w14:textId="113F281D" w:rsidR="00AB62E9" w:rsidRPr="00F61B23" w:rsidRDefault="00AB62E9" w:rsidP="00AB62E9">
      <w:pPr>
        <w:rPr>
          <w:b/>
          <w:bCs/>
          <w:sz w:val="24"/>
          <w:szCs w:val="32"/>
        </w:rPr>
      </w:pPr>
      <w:r w:rsidRPr="00F61B23">
        <w:rPr>
          <w:b/>
          <w:bCs/>
          <w:sz w:val="24"/>
          <w:szCs w:val="32"/>
        </w:rPr>
        <w:t>Next Steps</w:t>
      </w:r>
    </w:p>
    <w:p w14:paraId="5943F1FF" w14:textId="4EAB3083" w:rsidR="008C23FB" w:rsidRDefault="008C23FB" w:rsidP="008E4E96">
      <w:pPr>
        <w:shd w:val="clear" w:color="auto" w:fill="FAE2D5" w:themeFill="accent2" w:themeFillTint="33"/>
      </w:pPr>
      <w:r>
        <w:t>Subject to Board endorsement, management will:</w:t>
      </w:r>
    </w:p>
    <w:p w14:paraId="22E059FF" w14:textId="4AB61A04" w:rsidR="008C23FB" w:rsidRDefault="001724FE" w:rsidP="00F61B23">
      <w:pPr>
        <w:pStyle w:val="ListParagraph"/>
        <w:numPr>
          <w:ilvl w:val="0"/>
          <w:numId w:val="27"/>
        </w:numPr>
        <w:shd w:val="clear" w:color="auto" w:fill="FAE2D5" w:themeFill="accent2" w:themeFillTint="33"/>
        <w:ind w:left="714" w:hanging="357"/>
        <w:contextualSpacing w:val="0"/>
      </w:pPr>
      <w:r>
        <w:t>D</w:t>
      </w:r>
      <w:r w:rsidR="008C23FB">
        <w:t>evelop a detailed cybersecurity risk response plan, including proposed mitigation actions and resourcing implications; and</w:t>
      </w:r>
    </w:p>
    <w:p w14:paraId="7B87EF42" w14:textId="6DEE8347" w:rsidR="008C23FB" w:rsidRDefault="001724FE" w:rsidP="00F61B23">
      <w:pPr>
        <w:pStyle w:val="ListParagraph"/>
        <w:numPr>
          <w:ilvl w:val="0"/>
          <w:numId w:val="27"/>
        </w:numPr>
        <w:shd w:val="clear" w:color="auto" w:fill="FAE2D5" w:themeFill="accent2" w:themeFillTint="33"/>
        <w:ind w:left="714" w:hanging="357"/>
        <w:contextualSpacing w:val="0"/>
      </w:pPr>
      <w:r>
        <w:t>B</w:t>
      </w:r>
      <w:r w:rsidR="008C23FB">
        <w:t xml:space="preserve">ring this plan forward for Board consideration through the </w:t>
      </w:r>
      <w:commentRangeStart w:id="7"/>
      <w:r w:rsidR="005F6B3A" w:rsidRPr="00F61B23">
        <w:rPr>
          <w:shd w:val="clear" w:color="auto" w:fill="FAE2D5" w:themeFill="accent2" w:themeFillTint="33"/>
        </w:rPr>
        <w:t>budget</w:t>
      </w:r>
      <w:r w:rsidR="008C23FB" w:rsidRPr="00F61B23">
        <w:rPr>
          <w:shd w:val="clear" w:color="auto" w:fill="FAE2D5" w:themeFill="accent2" w:themeFillTint="33"/>
        </w:rPr>
        <w:t xml:space="preserve"> approval process</w:t>
      </w:r>
      <w:commentRangeEnd w:id="7"/>
      <w:r w:rsidR="00AB469C" w:rsidRPr="00AB469C">
        <w:rPr>
          <w:rStyle w:val="CommentReference"/>
          <w:shd w:val="clear" w:color="auto" w:fill="FAE2D5" w:themeFill="accent2" w:themeFillTint="33"/>
        </w:rPr>
        <w:commentReference w:id="7"/>
      </w:r>
      <w:r w:rsidR="008C23FB">
        <w:t>.</w:t>
      </w:r>
    </w:p>
    <w:p w14:paraId="6DA8B554" w14:textId="423454ED" w:rsidR="00B41570" w:rsidRDefault="008C23FB" w:rsidP="008C23FB">
      <w:r>
        <w:t xml:space="preserve">Management will continue to monitor all priority risks and will report back to the Board as part of the regular ERM reporting </w:t>
      </w:r>
      <w:r w:rsidR="008C0284">
        <w:t>cycle or</w:t>
      </w:r>
      <w:r>
        <w:t xml:space="preserve"> sooner should risk levels change materially.</w:t>
      </w:r>
    </w:p>
    <w:sectPr w:rsidR="00B41570" w:rsidSect="0023751F">
      <w:footerReference w:type="default" r:id="rId11"/>
      <w:pgSz w:w="12240" w:h="15840"/>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e Stinson" w:date="2026-01-24T14:33:00Z" w:initials="NS">
    <w:p w14:paraId="12C1C970" w14:textId="77777777" w:rsidR="002051BA" w:rsidRDefault="00DD5618" w:rsidP="002051BA">
      <w:r>
        <w:rPr>
          <w:rStyle w:val="CommentReference"/>
        </w:rPr>
        <w:annotationRef/>
      </w:r>
      <w:r w:rsidR="002051BA">
        <w:rPr>
          <w:szCs w:val="20"/>
        </w:rPr>
        <w:t>Note: The ERM Framework includes a glossary with the definitions of ERM and risk. Making reference to the Framework or appending the glossary may be an option to support the Board in refreshing their knowledge of ERM and their unique role.</w:t>
      </w:r>
    </w:p>
  </w:comment>
  <w:comment w:id="1" w:author="Nicole Stinson" w:date="2026-01-24T14:36:00Z" w:initials="NS">
    <w:p w14:paraId="200D49E7" w14:textId="77777777" w:rsidR="00106E5C" w:rsidRDefault="00F65FE8" w:rsidP="00106E5C">
      <w:r>
        <w:rPr>
          <w:rStyle w:val="CommentReference"/>
        </w:rPr>
        <w:annotationRef/>
      </w:r>
      <w:r w:rsidR="00106E5C">
        <w:rPr>
          <w:szCs w:val="20"/>
        </w:rPr>
        <w:t xml:space="preserve">Note: Per the ERM Guide, If your Board has not set risk appetite statements at the time of this submission, refer to direction set by Senior Management. </w:t>
      </w:r>
    </w:p>
  </w:comment>
  <w:comment w:id="2" w:author="Nicole Stinson" w:date="2026-01-24T14:19:00Z" w:initials="NS">
    <w:p w14:paraId="762A92F8" w14:textId="699B5DCA" w:rsidR="00DF3AC6" w:rsidRDefault="00DF3AC6" w:rsidP="00DF3AC6">
      <w:r>
        <w:rPr>
          <w:rStyle w:val="CommentReference"/>
        </w:rPr>
        <w:annotationRef/>
      </w:r>
      <w:r>
        <w:rPr>
          <w:szCs w:val="20"/>
        </w:rPr>
        <w:t>Note: If your Board is interested in seeing more than the priority risks, consider appending or hyperlinking extracts from the Risk Register.</w:t>
      </w:r>
    </w:p>
  </w:comment>
  <w:comment w:id="3" w:author="Nicole Stinson" w:date="2026-01-24T14:51:00Z" w:initials="NS">
    <w:p w14:paraId="44BCB969" w14:textId="77777777" w:rsidR="00ED04E0" w:rsidRDefault="00ED04E0" w:rsidP="00ED04E0">
      <w:r>
        <w:rPr>
          <w:rStyle w:val="CommentReference"/>
        </w:rPr>
        <w:annotationRef/>
      </w:r>
      <w:r>
        <w:rPr>
          <w:szCs w:val="20"/>
        </w:rPr>
        <w:t xml:space="preserve">Note: Risk Categories are defined in your ERM Framework. </w:t>
      </w:r>
    </w:p>
  </w:comment>
  <w:comment w:id="4" w:author="Nicole Stinson" w:date="2026-01-24T15:17:00Z" w:initials="NS">
    <w:p w14:paraId="3CD92AC6" w14:textId="77777777" w:rsidR="005A2B28" w:rsidRDefault="005A2B28" w:rsidP="005A2B28">
      <w:r>
        <w:rPr>
          <w:rStyle w:val="CommentReference"/>
        </w:rPr>
        <w:annotationRef/>
      </w:r>
      <w:r>
        <w:rPr>
          <w:szCs w:val="20"/>
        </w:rPr>
        <w:t>Note: This section further describes the risks and the actions sumarized in the previous table.</w:t>
      </w:r>
    </w:p>
    <w:p w14:paraId="53C0A025" w14:textId="77777777" w:rsidR="005A2B28" w:rsidRDefault="005A2B28" w:rsidP="005A2B28">
      <w:r>
        <w:rPr>
          <w:szCs w:val="20"/>
        </w:rPr>
        <w:t>For readability, they are not highlighted in the manner of the other sample text in this template. All text here is illustrative only.</w:t>
      </w:r>
    </w:p>
  </w:comment>
  <w:comment w:id="5" w:author="Nicole Stinson" w:date="2026-01-24T15:15:00Z" w:initials="NS">
    <w:p w14:paraId="1802191C" w14:textId="37E1F022" w:rsidR="004B35B8" w:rsidRDefault="004B35B8" w:rsidP="004B35B8">
      <w:r>
        <w:rPr>
          <w:rStyle w:val="CommentReference"/>
        </w:rPr>
        <w:annotationRef/>
      </w:r>
      <w:r>
        <w:rPr>
          <w:szCs w:val="20"/>
        </w:rPr>
        <w:t>Note: best practice is to use the same wording as in your Risk Register and throughout all documents referring to this specific risk.</w:t>
      </w:r>
    </w:p>
  </w:comment>
  <w:comment w:id="6" w:author="Nicole Stinson" w:date="2026-01-24T15:05:00Z" w:initials="NS">
    <w:p w14:paraId="34715AC7" w14:textId="2C7A2478" w:rsidR="00A37781" w:rsidRDefault="00A37781" w:rsidP="00A37781">
      <w:r>
        <w:rPr>
          <w:rStyle w:val="CommentReference"/>
        </w:rPr>
        <w:annotationRef/>
      </w:r>
      <w:r>
        <w:rPr>
          <w:szCs w:val="20"/>
        </w:rPr>
        <w:t>Note: Any specific budget or staffing impacts would be brought forward for Board consideration through the district’s established financial approval processes. The Board's endorsement here adds weight to this future proposal.</w:t>
      </w:r>
    </w:p>
    <w:p w14:paraId="6EDE501A" w14:textId="77777777" w:rsidR="00A37781" w:rsidRDefault="00A37781" w:rsidP="00A37781"/>
  </w:comment>
  <w:comment w:id="7" w:author="Nicole Stinson" w:date="2026-01-24T15:13:00Z" w:initials="NS">
    <w:p w14:paraId="1671E966" w14:textId="77777777" w:rsidR="00AB469C" w:rsidRDefault="00AB469C" w:rsidP="00AB469C">
      <w:r>
        <w:rPr>
          <w:rStyle w:val="CommentReference"/>
        </w:rPr>
        <w:annotationRef/>
      </w:r>
      <w:r>
        <w:rPr>
          <w:szCs w:val="20"/>
        </w:rPr>
        <w:t>Note: refer to the most pragmatic and expedient process of your District.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C1C970" w15:done="0"/>
  <w15:commentEx w15:paraId="200D49E7" w15:done="0"/>
  <w15:commentEx w15:paraId="762A92F8" w15:done="0"/>
  <w15:commentEx w15:paraId="44BCB969" w15:done="0"/>
  <w15:commentEx w15:paraId="53C0A025" w15:done="0"/>
  <w15:commentEx w15:paraId="1802191C" w15:done="0"/>
  <w15:commentEx w15:paraId="6EDE501A" w15:done="0"/>
  <w15:commentEx w15:paraId="1671E9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8313E3" w16cex:dateUtc="2026-01-24T22:33:00Z"/>
  <w16cex:commentExtensible w16cex:durableId="7EC51449" w16cex:dateUtc="2026-01-24T22:36:00Z"/>
  <w16cex:commentExtensible w16cex:durableId="44A8249C" w16cex:dateUtc="2026-01-24T22:19:00Z"/>
  <w16cex:commentExtensible w16cex:durableId="29F79BA3" w16cex:dateUtc="2026-01-24T22:51:00Z"/>
  <w16cex:commentExtensible w16cex:durableId="4991BDF6" w16cex:dateUtc="2026-01-24T23:17:00Z"/>
  <w16cex:commentExtensible w16cex:durableId="7E663301" w16cex:dateUtc="2026-01-24T23:15:00Z"/>
  <w16cex:commentExtensible w16cex:durableId="4018BCD5" w16cex:dateUtc="2026-01-24T23:05:00Z"/>
  <w16cex:commentExtensible w16cex:durableId="390887A0" w16cex:dateUtc="2026-01-24T2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C1C970" w16cid:durableId="418313E3"/>
  <w16cid:commentId w16cid:paraId="200D49E7" w16cid:durableId="7EC51449"/>
  <w16cid:commentId w16cid:paraId="762A92F8" w16cid:durableId="44A8249C"/>
  <w16cid:commentId w16cid:paraId="44BCB969" w16cid:durableId="29F79BA3"/>
  <w16cid:commentId w16cid:paraId="53C0A025" w16cid:durableId="4991BDF6"/>
  <w16cid:commentId w16cid:paraId="1802191C" w16cid:durableId="7E663301"/>
  <w16cid:commentId w16cid:paraId="6EDE501A" w16cid:durableId="4018BCD5"/>
  <w16cid:commentId w16cid:paraId="1671E966" w16cid:durableId="390887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9426A" w14:textId="77777777" w:rsidR="00041F99" w:rsidRDefault="00041F99" w:rsidP="0023751F">
      <w:pPr>
        <w:spacing w:after="0" w:line="240" w:lineRule="auto"/>
      </w:pPr>
      <w:r>
        <w:separator/>
      </w:r>
    </w:p>
  </w:endnote>
  <w:endnote w:type="continuationSeparator" w:id="0">
    <w:p w14:paraId="4D69CAA9" w14:textId="77777777" w:rsidR="00041F99" w:rsidRDefault="00041F99" w:rsidP="0023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9AD5" w14:textId="153FD789" w:rsidR="0023751F" w:rsidRDefault="0023751F" w:rsidP="0023751F">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00427" w14:textId="77777777" w:rsidR="00041F99" w:rsidRDefault="00041F99" w:rsidP="0023751F">
      <w:pPr>
        <w:spacing w:after="0" w:line="240" w:lineRule="auto"/>
      </w:pPr>
      <w:r>
        <w:separator/>
      </w:r>
    </w:p>
  </w:footnote>
  <w:footnote w:type="continuationSeparator" w:id="0">
    <w:p w14:paraId="62EFC82F" w14:textId="77777777" w:rsidR="00041F99" w:rsidRDefault="00041F99" w:rsidP="00237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250"/>
    <w:multiLevelType w:val="multilevel"/>
    <w:tmpl w:val="BA5C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E2632"/>
    <w:multiLevelType w:val="hybridMultilevel"/>
    <w:tmpl w:val="8EE43906"/>
    <w:lvl w:ilvl="0" w:tplc="205EF8C6">
      <w:start w:val="1"/>
      <w:numFmt w:val="decimal"/>
      <w:pStyle w:val="Heading2"/>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604A4D"/>
    <w:multiLevelType w:val="multilevel"/>
    <w:tmpl w:val="6E84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51AFE"/>
    <w:multiLevelType w:val="multilevel"/>
    <w:tmpl w:val="8C46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0F79B3"/>
    <w:multiLevelType w:val="hybridMultilevel"/>
    <w:tmpl w:val="45B6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357D5"/>
    <w:multiLevelType w:val="hybridMultilevel"/>
    <w:tmpl w:val="97A64D0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F72119B"/>
    <w:multiLevelType w:val="hybridMultilevel"/>
    <w:tmpl w:val="53BA67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780E6C"/>
    <w:multiLevelType w:val="multilevel"/>
    <w:tmpl w:val="F8F8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D271EE"/>
    <w:multiLevelType w:val="hybridMultilevel"/>
    <w:tmpl w:val="BF8E54C8"/>
    <w:lvl w:ilvl="0" w:tplc="6E3A2326">
      <w:start w:val="2"/>
      <w:numFmt w:val="bullet"/>
      <w:lvlText w:val="-"/>
      <w:lvlJc w:val="left"/>
      <w:pPr>
        <w:ind w:left="720" w:hanging="360"/>
      </w:pPr>
      <w:rPr>
        <w:rFonts w:ascii="Aptos" w:eastAsiaTheme="majorEastAsia" w:hAnsi="Aptos" w:cs="Segoe UI"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E3618"/>
    <w:multiLevelType w:val="hybridMultilevel"/>
    <w:tmpl w:val="DADA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891132"/>
    <w:multiLevelType w:val="hybridMultilevel"/>
    <w:tmpl w:val="892E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C2C47"/>
    <w:multiLevelType w:val="hybridMultilevel"/>
    <w:tmpl w:val="BD724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E790C"/>
    <w:multiLevelType w:val="hybridMultilevel"/>
    <w:tmpl w:val="0DE4214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3EBC7A33"/>
    <w:multiLevelType w:val="hybridMultilevel"/>
    <w:tmpl w:val="A03827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23123B4"/>
    <w:multiLevelType w:val="hybridMultilevel"/>
    <w:tmpl w:val="58D2CA56"/>
    <w:lvl w:ilvl="0" w:tplc="C69870D8">
      <w:start w:val="1"/>
      <w:numFmt w:val="upperLetter"/>
      <w:lvlText w:val="%1."/>
      <w:lvlJc w:val="left"/>
      <w:pPr>
        <w:ind w:left="720" w:hanging="360"/>
      </w:pPr>
      <w:rPr>
        <w:rFonts w:hint="default"/>
        <w:b/>
        <w:bCs/>
        <w:sz w:val="22"/>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3391774"/>
    <w:multiLevelType w:val="hybridMultilevel"/>
    <w:tmpl w:val="07B0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A16412"/>
    <w:multiLevelType w:val="hybridMultilevel"/>
    <w:tmpl w:val="BC8CE0C2"/>
    <w:lvl w:ilvl="0" w:tplc="04090001">
      <w:start w:val="1"/>
      <w:numFmt w:val="bullet"/>
      <w:lvlText w:val=""/>
      <w:lvlJc w:val="left"/>
      <w:pPr>
        <w:ind w:left="360" w:hanging="360"/>
      </w:pPr>
      <w:rPr>
        <w:rFonts w:ascii="Symbol" w:hAnsi="Symbol"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7472A83"/>
    <w:multiLevelType w:val="hybridMultilevel"/>
    <w:tmpl w:val="3A6CC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13AC6"/>
    <w:multiLevelType w:val="hybridMultilevel"/>
    <w:tmpl w:val="A46EBA9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9" w15:restartNumberingAfterBreak="0">
    <w:nsid w:val="49F32788"/>
    <w:multiLevelType w:val="hybridMultilevel"/>
    <w:tmpl w:val="711E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FF7CE8"/>
    <w:multiLevelType w:val="hybridMultilevel"/>
    <w:tmpl w:val="06508FF0"/>
    <w:lvl w:ilvl="0" w:tplc="10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2D3954"/>
    <w:multiLevelType w:val="multilevel"/>
    <w:tmpl w:val="135C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EB6DC8"/>
    <w:multiLevelType w:val="hybridMultilevel"/>
    <w:tmpl w:val="BF66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2C4B27"/>
    <w:multiLevelType w:val="hybridMultilevel"/>
    <w:tmpl w:val="9BEAFC68"/>
    <w:lvl w:ilvl="0" w:tplc="6E3A2326">
      <w:start w:val="2"/>
      <w:numFmt w:val="bullet"/>
      <w:lvlText w:val="-"/>
      <w:lvlJc w:val="left"/>
      <w:pPr>
        <w:ind w:left="360" w:hanging="360"/>
      </w:pPr>
      <w:rPr>
        <w:rFonts w:ascii="Aptos" w:eastAsiaTheme="majorEastAsia" w:hAnsi="Aptos" w:cs="Segoe UI"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9E24FDC"/>
    <w:multiLevelType w:val="hybridMultilevel"/>
    <w:tmpl w:val="E2825B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C891248"/>
    <w:multiLevelType w:val="multilevel"/>
    <w:tmpl w:val="0380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E6B13"/>
    <w:multiLevelType w:val="hybridMultilevel"/>
    <w:tmpl w:val="EA7C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7C2D7F"/>
    <w:multiLevelType w:val="multilevel"/>
    <w:tmpl w:val="3226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9B45A0"/>
    <w:multiLevelType w:val="hybridMultilevel"/>
    <w:tmpl w:val="7AA6D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56514"/>
    <w:multiLevelType w:val="multilevel"/>
    <w:tmpl w:val="ED18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3785053">
    <w:abstractNumId w:val="26"/>
  </w:num>
  <w:num w:numId="2" w16cid:durableId="1875073680">
    <w:abstractNumId w:val="4"/>
  </w:num>
  <w:num w:numId="3" w16cid:durableId="470945950">
    <w:abstractNumId w:val="15"/>
  </w:num>
  <w:num w:numId="4" w16cid:durableId="549847837">
    <w:abstractNumId w:val="9"/>
  </w:num>
  <w:num w:numId="5" w16cid:durableId="2071462385">
    <w:abstractNumId w:val="11"/>
  </w:num>
  <w:num w:numId="6" w16cid:durableId="780301340">
    <w:abstractNumId w:val="10"/>
  </w:num>
  <w:num w:numId="7" w16cid:durableId="2032029209">
    <w:abstractNumId w:val="19"/>
  </w:num>
  <w:num w:numId="8" w16cid:durableId="964896739">
    <w:abstractNumId w:val="22"/>
  </w:num>
  <w:num w:numId="9" w16cid:durableId="290861261">
    <w:abstractNumId w:val="25"/>
  </w:num>
  <w:num w:numId="10" w16cid:durableId="572861513">
    <w:abstractNumId w:val="21"/>
  </w:num>
  <w:num w:numId="11" w16cid:durableId="766079797">
    <w:abstractNumId w:val="7"/>
  </w:num>
  <w:num w:numId="12" w16cid:durableId="1217811597">
    <w:abstractNumId w:val="0"/>
  </w:num>
  <w:num w:numId="13" w16cid:durableId="174350519">
    <w:abstractNumId w:val="27"/>
  </w:num>
  <w:num w:numId="14" w16cid:durableId="1398672795">
    <w:abstractNumId w:val="2"/>
  </w:num>
  <w:num w:numId="15" w16cid:durableId="1798715788">
    <w:abstractNumId w:val="3"/>
  </w:num>
  <w:num w:numId="16" w16cid:durableId="715667809">
    <w:abstractNumId w:val="29"/>
  </w:num>
  <w:num w:numId="17" w16cid:durableId="1401561217">
    <w:abstractNumId w:val="8"/>
  </w:num>
  <w:num w:numId="18" w16cid:durableId="1283145553">
    <w:abstractNumId w:val="20"/>
  </w:num>
  <w:num w:numId="19" w16cid:durableId="874078627">
    <w:abstractNumId w:val="23"/>
  </w:num>
  <w:num w:numId="20" w16cid:durableId="1682119897">
    <w:abstractNumId w:val="16"/>
  </w:num>
  <w:num w:numId="21" w16cid:durableId="929044484">
    <w:abstractNumId w:val="28"/>
  </w:num>
  <w:num w:numId="22" w16cid:durableId="37049197">
    <w:abstractNumId w:val="17"/>
  </w:num>
  <w:num w:numId="23" w16cid:durableId="1949505840">
    <w:abstractNumId w:val="1"/>
  </w:num>
  <w:num w:numId="24" w16cid:durableId="1162694185">
    <w:abstractNumId w:val="18"/>
  </w:num>
  <w:num w:numId="25" w16cid:durableId="221867210">
    <w:abstractNumId w:val="13"/>
  </w:num>
  <w:num w:numId="26" w16cid:durableId="1244532731">
    <w:abstractNumId w:val="14"/>
  </w:num>
  <w:num w:numId="27" w16cid:durableId="558983777">
    <w:abstractNumId w:val="24"/>
  </w:num>
  <w:num w:numId="28" w16cid:durableId="48501838">
    <w:abstractNumId w:val="6"/>
  </w:num>
  <w:num w:numId="29" w16cid:durableId="318577192">
    <w:abstractNumId w:val="5"/>
  </w:num>
  <w:num w:numId="30" w16cid:durableId="69542625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e Stinson">
    <w15:presenceInfo w15:providerId="AD" w15:userId="S::nicole@upsidesolutions.ca::af5d4063-14ec-49e6-88c3-cc3af908aa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2E9"/>
    <w:rsid w:val="0000244F"/>
    <w:rsid w:val="00041F99"/>
    <w:rsid w:val="000638E9"/>
    <w:rsid w:val="00064A6E"/>
    <w:rsid w:val="000865B4"/>
    <w:rsid w:val="000B17ED"/>
    <w:rsid w:val="000D1AA8"/>
    <w:rsid w:val="000F6B33"/>
    <w:rsid w:val="00106E5C"/>
    <w:rsid w:val="00142EB6"/>
    <w:rsid w:val="001724FE"/>
    <w:rsid w:val="00175F30"/>
    <w:rsid w:val="0018696B"/>
    <w:rsid w:val="0018699B"/>
    <w:rsid w:val="001A3294"/>
    <w:rsid w:val="001A5487"/>
    <w:rsid w:val="001C11C5"/>
    <w:rsid w:val="001E64BC"/>
    <w:rsid w:val="00200A50"/>
    <w:rsid w:val="002051BA"/>
    <w:rsid w:val="002127DB"/>
    <w:rsid w:val="002151C2"/>
    <w:rsid w:val="0023751F"/>
    <w:rsid w:val="00242F09"/>
    <w:rsid w:val="00253937"/>
    <w:rsid w:val="00262FA3"/>
    <w:rsid w:val="002651DB"/>
    <w:rsid w:val="0029105F"/>
    <w:rsid w:val="002C0A58"/>
    <w:rsid w:val="00317F2A"/>
    <w:rsid w:val="00321873"/>
    <w:rsid w:val="00393F2E"/>
    <w:rsid w:val="003B7449"/>
    <w:rsid w:val="00401B31"/>
    <w:rsid w:val="00456865"/>
    <w:rsid w:val="00470BE9"/>
    <w:rsid w:val="004749A0"/>
    <w:rsid w:val="004B196C"/>
    <w:rsid w:val="004B27C7"/>
    <w:rsid w:val="004B35B8"/>
    <w:rsid w:val="004C0616"/>
    <w:rsid w:val="005027A0"/>
    <w:rsid w:val="005112C0"/>
    <w:rsid w:val="005324FD"/>
    <w:rsid w:val="00551A40"/>
    <w:rsid w:val="00570242"/>
    <w:rsid w:val="005802D6"/>
    <w:rsid w:val="005A2B28"/>
    <w:rsid w:val="005E718D"/>
    <w:rsid w:val="005F6B3A"/>
    <w:rsid w:val="006039DC"/>
    <w:rsid w:val="00632485"/>
    <w:rsid w:val="0064226B"/>
    <w:rsid w:val="0067481F"/>
    <w:rsid w:val="00694A24"/>
    <w:rsid w:val="006A0A59"/>
    <w:rsid w:val="006D5D1A"/>
    <w:rsid w:val="00717183"/>
    <w:rsid w:val="00753145"/>
    <w:rsid w:val="0076622A"/>
    <w:rsid w:val="007707D9"/>
    <w:rsid w:val="00783D2A"/>
    <w:rsid w:val="007A3640"/>
    <w:rsid w:val="007B5A3B"/>
    <w:rsid w:val="007C62B6"/>
    <w:rsid w:val="00833B32"/>
    <w:rsid w:val="00851865"/>
    <w:rsid w:val="00863E0C"/>
    <w:rsid w:val="00882ED9"/>
    <w:rsid w:val="0088470A"/>
    <w:rsid w:val="008C0284"/>
    <w:rsid w:val="008C23FB"/>
    <w:rsid w:val="008E4E96"/>
    <w:rsid w:val="00924FBB"/>
    <w:rsid w:val="00934DC4"/>
    <w:rsid w:val="00947502"/>
    <w:rsid w:val="009509EB"/>
    <w:rsid w:val="0096331D"/>
    <w:rsid w:val="00997E3D"/>
    <w:rsid w:val="009B043D"/>
    <w:rsid w:val="00A37781"/>
    <w:rsid w:val="00A51BFD"/>
    <w:rsid w:val="00A60A87"/>
    <w:rsid w:val="00A855EE"/>
    <w:rsid w:val="00AA6F80"/>
    <w:rsid w:val="00AB3502"/>
    <w:rsid w:val="00AB469C"/>
    <w:rsid w:val="00AB62E9"/>
    <w:rsid w:val="00B060BC"/>
    <w:rsid w:val="00B25C6F"/>
    <w:rsid w:val="00B41570"/>
    <w:rsid w:val="00BA58B4"/>
    <w:rsid w:val="00BE21BC"/>
    <w:rsid w:val="00C24D7F"/>
    <w:rsid w:val="00C32604"/>
    <w:rsid w:val="00C452E2"/>
    <w:rsid w:val="00C465DF"/>
    <w:rsid w:val="00C5036E"/>
    <w:rsid w:val="00C53130"/>
    <w:rsid w:val="00C746C7"/>
    <w:rsid w:val="00C90694"/>
    <w:rsid w:val="00C963F6"/>
    <w:rsid w:val="00CB0D5F"/>
    <w:rsid w:val="00CB2BD2"/>
    <w:rsid w:val="00CE4120"/>
    <w:rsid w:val="00CF1E8F"/>
    <w:rsid w:val="00D10279"/>
    <w:rsid w:val="00D9182E"/>
    <w:rsid w:val="00DB0590"/>
    <w:rsid w:val="00DC65C6"/>
    <w:rsid w:val="00DD5618"/>
    <w:rsid w:val="00DE0D0A"/>
    <w:rsid w:val="00DF3088"/>
    <w:rsid w:val="00DF3AC6"/>
    <w:rsid w:val="00E2607C"/>
    <w:rsid w:val="00E50904"/>
    <w:rsid w:val="00E76C78"/>
    <w:rsid w:val="00E76D90"/>
    <w:rsid w:val="00EC3DAC"/>
    <w:rsid w:val="00ED04E0"/>
    <w:rsid w:val="00EF63AC"/>
    <w:rsid w:val="00F279D0"/>
    <w:rsid w:val="00F61B23"/>
    <w:rsid w:val="00F65FE8"/>
    <w:rsid w:val="00F71775"/>
    <w:rsid w:val="00F7736B"/>
    <w:rsid w:val="00F86F62"/>
    <w:rsid w:val="00FA692F"/>
    <w:rsid w:val="00FA7C9D"/>
    <w:rsid w:val="00FB41EC"/>
    <w:rsid w:val="00FD338A"/>
    <w:rsid w:val="00FF6494"/>
    <w:rsid w:val="27FCAA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B006"/>
  <w15:chartTrackingRefBased/>
  <w15:docId w15:val="{58BDB77F-751F-B24C-A4E3-E4D103A4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873"/>
    <w:pPr>
      <w:spacing w:after="120" w:line="276" w:lineRule="auto"/>
    </w:pPr>
    <w:rPr>
      <w:rFonts w:ascii="Arial" w:hAnsi="Arial" w:cs="Times New Roman"/>
      <w:kern w:val="0"/>
      <w:sz w:val="20"/>
      <w14:ligatures w14:val="none"/>
    </w:rPr>
  </w:style>
  <w:style w:type="paragraph" w:styleId="Heading1">
    <w:name w:val="heading 1"/>
    <w:basedOn w:val="Normal"/>
    <w:next w:val="Normal"/>
    <w:link w:val="Heading1Char"/>
    <w:autoRedefine/>
    <w:uiPriority w:val="9"/>
    <w:qFormat/>
    <w:rsid w:val="00AB3502"/>
    <w:pPr>
      <w:keepNext/>
      <w:keepLines/>
      <w:spacing w:before="240"/>
      <w:outlineLvl w:val="0"/>
    </w:pPr>
    <w:rPr>
      <w:rFonts w:asciiTheme="majorHAnsi" w:eastAsiaTheme="majorEastAsia" w:hAnsiTheme="majorHAnsi" w:cstheme="majorBidi"/>
      <w:color w:val="637B94"/>
      <w:sz w:val="32"/>
      <w:szCs w:val="32"/>
    </w:rPr>
  </w:style>
  <w:style w:type="paragraph" w:styleId="Heading2">
    <w:name w:val="heading 2"/>
    <w:basedOn w:val="Normal"/>
    <w:next w:val="Normal"/>
    <w:link w:val="Heading2Char"/>
    <w:autoRedefine/>
    <w:uiPriority w:val="9"/>
    <w:unhideWhenUsed/>
    <w:qFormat/>
    <w:rsid w:val="00321873"/>
    <w:pPr>
      <w:keepNext/>
      <w:keepLines/>
      <w:numPr>
        <w:numId w:val="23"/>
      </w:numPr>
      <w:spacing w:before="360"/>
      <w:ind w:left="426" w:hanging="568"/>
      <w:outlineLvl w:val="1"/>
    </w:pPr>
    <w:rPr>
      <w:rFonts w:eastAsiaTheme="majorEastAsia" w:cstheme="majorBidi"/>
      <w:caps/>
      <w:color w:val="00B6C9"/>
      <w:sz w:val="24"/>
      <w:szCs w:val="26"/>
    </w:rPr>
  </w:style>
  <w:style w:type="paragraph" w:styleId="Heading3">
    <w:name w:val="heading 3"/>
    <w:basedOn w:val="Normal"/>
    <w:next w:val="Normal"/>
    <w:link w:val="Heading3Char"/>
    <w:autoRedefine/>
    <w:uiPriority w:val="9"/>
    <w:unhideWhenUsed/>
    <w:qFormat/>
    <w:rsid w:val="00F61B23"/>
    <w:pPr>
      <w:keepNext/>
      <w:keepLines/>
      <w:spacing w:before="40"/>
      <w:outlineLvl w:val="2"/>
    </w:pPr>
    <w:rPr>
      <w:rFonts w:eastAsiaTheme="majorEastAsia" w:cstheme="majorBidi"/>
      <w:b/>
      <w:color w:val="074F6A" w:themeColor="accent4" w:themeShade="80"/>
      <w:szCs w:val="20"/>
      <w:u w:val="single"/>
    </w:rPr>
  </w:style>
  <w:style w:type="paragraph" w:styleId="Heading4">
    <w:name w:val="heading 4"/>
    <w:basedOn w:val="Normal"/>
    <w:next w:val="Normal"/>
    <w:link w:val="Heading4Char"/>
    <w:uiPriority w:val="9"/>
    <w:unhideWhenUsed/>
    <w:qFormat/>
    <w:rsid w:val="00AB62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62E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62E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62E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62E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62E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502"/>
    <w:rPr>
      <w:rFonts w:asciiTheme="majorHAnsi" w:eastAsiaTheme="majorEastAsia" w:hAnsiTheme="majorHAnsi" w:cstheme="majorBidi"/>
      <w:color w:val="637B94"/>
      <w:sz w:val="32"/>
      <w:szCs w:val="32"/>
    </w:rPr>
  </w:style>
  <w:style w:type="paragraph" w:customStyle="1" w:styleId="Upside">
    <w:name w:val="Upside"/>
    <w:basedOn w:val="Normal"/>
    <w:qFormat/>
    <w:rsid w:val="00B41570"/>
  </w:style>
  <w:style w:type="paragraph" w:styleId="Title">
    <w:name w:val="Title"/>
    <w:basedOn w:val="Normal"/>
    <w:next w:val="Normal"/>
    <w:link w:val="TitleChar"/>
    <w:uiPriority w:val="10"/>
    <w:qFormat/>
    <w:rsid w:val="00B41570"/>
    <w:pPr>
      <w:spacing w:after="80"/>
      <w:contextualSpacing/>
    </w:pPr>
    <w:rPr>
      <w:rFonts w:asciiTheme="majorHAnsi" w:eastAsiaTheme="majorEastAsia" w:hAnsiTheme="majorHAnsi" w:cstheme="majorBidi"/>
      <w:color w:val="5C7C97"/>
      <w:spacing w:val="-10"/>
      <w:kern w:val="28"/>
      <w:sz w:val="56"/>
      <w:szCs w:val="56"/>
    </w:rPr>
  </w:style>
  <w:style w:type="character" w:customStyle="1" w:styleId="TitleChar">
    <w:name w:val="Title Char"/>
    <w:basedOn w:val="DefaultParagraphFont"/>
    <w:link w:val="Title"/>
    <w:uiPriority w:val="10"/>
    <w:rsid w:val="00B41570"/>
    <w:rPr>
      <w:rFonts w:asciiTheme="majorHAnsi" w:eastAsiaTheme="majorEastAsia" w:hAnsiTheme="majorHAnsi" w:cstheme="majorBidi"/>
      <w:color w:val="5C7C97"/>
      <w:spacing w:val="-10"/>
      <w:kern w:val="28"/>
      <w:sz w:val="56"/>
      <w:szCs w:val="56"/>
    </w:rPr>
  </w:style>
  <w:style w:type="character" w:customStyle="1" w:styleId="Heading2Char">
    <w:name w:val="Heading 2 Char"/>
    <w:basedOn w:val="DefaultParagraphFont"/>
    <w:link w:val="Heading2"/>
    <w:uiPriority w:val="9"/>
    <w:rsid w:val="00321873"/>
    <w:rPr>
      <w:rFonts w:ascii="Arial" w:eastAsiaTheme="majorEastAsia" w:hAnsi="Arial" w:cstheme="majorBidi"/>
      <w:caps/>
      <w:color w:val="00B6C9"/>
      <w:kern w:val="0"/>
      <w:szCs w:val="26"/>
      <w14:ligatures w14:val="none"/>
    </w:rPr>
  </w:style>
  <w:style w:type="paragraph" w:customStyle="1" w:styleId="Style1">
    <w:name w:val="Style1"/>
    <w:basedOn w:val="Normal"/>
    <w:autoRedefine/>
    <w:qFormat/>
    <w:rsid w:val="004B196C"/>
  </w:style>
  <w:style w:type="character" w:customStyle="1" w:styleId="Heading3Char">
    <w:name w:val="Heading 3 Char"/>
    <w:basedOn w:val="DefaultParagraphFont"/>
    <w:link w:val="Heading3"/>
    <w:uiPriority w:val="9"/>
    <w:rsid w:val="00F61B23"/>
    <w:rPr>
      <w:rFonts w:ascii="Arial" w:eastAsiaTheme="majorEastAsia" w:hAnsi="Arial" w:cstheme="majorBidi"/>
      <w:b/>
      <w:color w:val="074F6A" w:themeColor="accent4" w:themeShade="80"/>
      <w:kern w:val="0"/>
      <w:sz w:val="20"/>
      <w:szCs w:val="20"/>
      <w:u w:val="single"/>
      <w14:ligatures w14:val="none"/>
    </w:rPr>
  </w:style>
  <w:style w:type="character" w:customStyle="1" w:styleId="Heading4Char">
    <w:name w:val="Heading 4 Char"/>
    <w:basedOn w:val="DefaultParagraphFont"/>
    <w:link w:val="Heading4"/>
    <w:uiPriority w:val="9"/>
    <w:rsid w:val="00AB62E9"/>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AB62E9"/>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AB62E9"/>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AB62E9"/>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AB62E9"/>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AB62E9"/>
    <w:rPr>
      <w:rFonts w:eastAsiaTheme="majorEastAsia" w:cstheme="majorBidi"/>
      <w:color w:val="272727" w:themeColor="text1" w:themeTint="D8"/>
      <w:kern w:val="0"/>
      <w:sz w:val="22"/>
      <w14:ligatures w14:val="none"/>
    </w:rPr>
  </w:style>
  <w:style w:type="paragraph" w:styleId="Subtitle">
    <w:name w:val="Subtitle"/>
    <w:basedOn w:val="Normal"/>
    <w:next w:val="Normal"/>
    <w:link w:val="SubtitleChar"/>
    <w:uiPriority w:val="11"/>
    <w:qFormat/>
    <w:rsid w:val="00AB62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2E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B62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62E9"/>
    <w:rPr>
      <w:rFonts w:ascii="Aptos" w:hAnsi="Aptos" w:cs="Times New Roman"/>
      <w:i/>
      <w:iCs/>
      <w:color w:val="404040" w:themeColor="text1" w:themeTint="BF"/>
      <w:kern w:val="0"/>
      <w:sz w:val="22"/>
      <w14:ligatures w14:val="none"/>
    </w:rPr>
  </w:style>
  <w:style w:type="paragraph" w:styleId="ListParagraph">
    <w:name w:val="List Paragraph"/>
    <w:basedOn w:val="Normal"/>
    <w:uiPriority w:val="34"/>
    <w:qFormat/>
    <w:rsid w:val="00AB62E9"/>
    <w:pPr>
      <w:ind w:left="720"/>
      <w:contextualSpacing/>
    </w:pPr>
  </w:style>
  <w:style w:type="character" w:styleId="IntenseEmphasis">
    <w:name w:val="Intense Emphasis"/>
    <w:basedOn w:val="DefaultParagraphFont"/>
    <w:uiPriority w:val="21"/>
    <w:qFormat/>
    <w:rsid w:val="00AB62E9"/>
    <w:rPr>
      <w:i/>
      <w:iCs/>
      <w:color w:val="0F4761" w:themeColor="accent1" w:themeShade="BF"/>
    </w:rPr>
  </w:style>
  <w:style w:type="paragraph" w:styleId="IntenseQuote">
    <w:name w:val="Intense Quote"/>
    <w:basedOn w:val="Normal"/>
    <w:next w:val="Normal"/>
    <w:link w:val="IntenseQuoteChar"/>
    <w:uiPriority w:val="30"/>
    <w:qFormat/>
    <w:rsid w:val="00AB6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2E9"/>
    <w:rPr>
      <w:rFonts w:ascii="Aptos" w:hAnsi="Aptos" w:cs="Times New Roman"/>
      <w:i/>
      <w:iCs/>
      <w:color w:val="0F4761" w:themeColor="accent1" w:themeShade="BF"/>
      <w:kern w:val="0"/>
      <w:sz w:val="22"/>
      <w14:ligatures w14:val="none"/>
    </w:rPr>
  </w:style>
  <w:style w:type="character" w:styleId="IntenseReference">
    <w:name w:val="Intense Reference"/>
    <w:basedOn w:val="DefaultParagraphFont"/>
    <w:uiPriority w:val="32"/>
    <w:qFormat/>
    <w:rsid w:val="00AB62E9"/>
    <w:rPr>
      <w:b/>
      <w:bCs/>
      <w:smallCaps/>
      <w:color w:val="0F4761" w:themeColor="accent1" w:themeShade="BF"/>
      <w:spacing w:val="5"/>
    </w:rPr>
  </w:style>
  <w:style w:type="character" w:styleId="Strong">
    <w:name w:val="Strong"/>
    <w:basedOn w:val="DefaultParagraphFont"/>
    <w:uiPriority w:val="22"/>
    <w:qFormat/>
    <w:rsid w:val="00AB62E9"/>
    <w:rPr>
      <w:b/>
      <w:bCs/>
    </w:rPr>
  </w:style>
  <w:style w:type="paragraph" w:customStyle="1" w:styleId="paragraph">
    <w:name w:val="paragraph"/>
    <w:basedOn w:val="Normal"/>
    <w:rsid w:val="00FA692F"/>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FA692F"/>
  </w:style>
  <w:style w:type="character" w:customStyle="1" w:styleId="eop">
    <w:name w:val="eop"/>
    <w:basedOn w:val="DefaultParagraphFont"/>
    <w:rsid w:val="00FA692F"/>
  </w:style>
  <w:style w:type="table" w:styleId="TableGrid">
    <w:name w:val="Table Grid"/>
    <w:basedOn w:val="TableNormal"/>
    <w:uiPriority w:val="39"/>
    <w:rsid w:val="00BE2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3AC6"/>
    <w:rPr>
      <w:sz w:val="16"/>
      <w:szCs w:val="16"/>
    </w:rPr>
  </w:style>
  <w:style w:type="paragraph" w:styleId="CommentText">
    <w:name w:val="annotation text"/>
    <w:basedOn w:val="Normal"/>
    <w:link w:val="CommentTextChar"/>
    <w:uiPriority w:val="99"/>
    <w:semiHidden/>
    <w:unhideWhenUsed/>
    <w:rsid w:val="00DF3AC6"/>
    <w:rPr>
      <w:szCs w:val="20"/>
    </w:rPr>
  </w:style>
  <w:style w:type="character" w:customStyle="1" w:styleId="CommentTextChar">
    <w:name w:val="Comment Text Char"/>
    <w:basedOn w:val="DefaultParagraphFont"/>
    <w:link w:val="CommentText"/>
    <w:uiPriority w:val="99"/>
    <w:semiHidden/>
    <w:rsid w:val="00DF3AC6"/>
    <w:rPr>
      <w:rFonts w:ascii="Aptos" w:hAnsi="Apto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F3AC6"/>
    <w:rPr>
      <w:b/>
      <w:bCs/>
    </w:rPr>
  </w:style>
  <w:style w:type="character" w:customStyle="1" w:styleId="CommentSubjectChar">
    <w:name w:val="Comment Subject Char"/>
    <w:basedOn w:val="CommentTextChar"/>
    <w:link w:val="CommentSubject"/>
    <w:uiPriority w:val="99"/>
    <w:semiHidden/>
    <w:rsid w:val="00DF3AC6"/>
    <w:rPr>
      <w:rFonts w:ascii="Aptos" w:hAnsi="Aptos" w:cs="Times New Roman"/>
      <w:b/>
      <w:bCs/>
      <w:kern w:val="0"/>
      <w:sz w:val="20"/>
      <w:szCs w:val="20"/>
      <w14:ligatures w14:val="none"/>
    </w:rPr>
  </w:style>
  <w:style w:type="paragraph" w:styleId="Header">
    <w:name w:val="header"/>
    <w:basedOn w:val="Normal"/>
    <w:link w:val="HeaderChar"/>
    <w:uiPriority w:val="99"/>
    <w:unhideWhenUsed/>
    <w:rsid w:val="00237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51F"/>
    <w:rPr>
      <w:rFonts w:ascii="Arial" w:hAnsi="Arial" w:cs="Times New Roman"/>
      <w:kern w:val="0"/>
      <w:sz w:val="20"/>
      <w14:ligatures w14:val="none"/>
    </w:rPr>
  </w:style>
  <w:style w:type="paragraph" w:styleId="Footer">
    <w:name w:val="footer"/>
    <w:basedOn w:val="Normal"/>
    <w:link w:val="FooterChar"/>
    <w:uiPriority w:val="99"/>
    <w:unhideWhenUsed/>
    <w:rsid w:val="00237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51F"/>
    <w:rPr>
      <w:rFonts w:ascii="Arial"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329ACA990FA48830499E93E3D86CF" ma:contentTypeVersion="19" ma:contentTypeDescription="Create a new document." ma:contentTypeScope="" ma:versionID="6a6ce102d35d70e9fa60478451523e17">
  <xsd:schema xmlns:xsd="http://www.w3.org/2001/XMLSchema" xmlns:xs="http://www.w3.org/2001/XMLSchema" xmlns:p="http://schemas.microsoft.com/office/2006/metadata/properties" xmlns:ns2="5eaf222e-874c-44a5-8ede-249a47032230" xmlns:ns3="5f73d18f-a678-4581-ba50-fa356377ebce" targetNamespace="http://schemas.microsoft.com/office/2006/metadata/properties" ma:root="true" ma:fieldsID="e5dd03ef4d98351ba0f05c4b81ac9271" ns2:_="" ns3:_="">
    <xsd:import namespace="5eaf222e-874c-44a5-8ede-249a47032230"/>
    <xsd:import namespace="5f73d18f-a678-4581-ba50-fa356377eb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f222e-874c-44a5-8ede-249a47032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100f0b-763d-4c2a-a1a0-617eaa6d96a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3d18f-a678-4581-ba50-fa356377eb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c9ae81-787f-407a-a11f-daadd95c5eda}" ma:internalName="TaxCatchAll" ma:showField="CatchAllData" ma:web="5f73d18f-a678-4581-ba50-fa356377ebc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af222e-874c-44a5-8ede-249a47032230">
      <Terms xmlns="http://schemas.microsoft.com/office/infopath/2007/PartnerControls"/>
    </lcf76f155ced4ddcb4097134ff3c332f>
    <TaxCatchAll xmlns="5f73d18f-a678-4581-ba50-fa356377ebce" xsi:nil="true"/>
    <_Flow_SignoffStatus xmlns="5eaf222e-874c-44a5-8ede-249a47032230" xsi:nil="true"/>
  </documentManagement>
</p:properties>
</file>

<file path=customXml/itemProps1.xml><?xml version="1.0" encoding="utf-8"?>
<ds:datastoreItem xmlns:ds="http://schemas.openxmlformats.org/officeDocument/2006/customXml" ds:itemID="{95F02C9E-C5CB-4986-9379-67B0B26DF43E}"/>
</file>

<file path=customXml/itemProps2.xml><?xml version="1.0" encoding="utf-8"?>
<ds:datastoreItem xmlns:ds="http://schemas.openxmlformats.org/officeDocument/2006/customXml" ds:itemID="{2EC6FA0C-4E04-4C47-8088-8C8BE852B1FA}"/>
</file>

<file path=customXml/itemProps3.xml><?xml version="1.0" encoding="utf-8"?>
<ds:datastoreItem xmlns:ds="http://schemas.openxmlformats.org/officeDocument/2006/customXml" ds:itemID="{A94B4D40-6367-4C31-9B2C-F0702CB13D1B}"/>
</file>

<file path=docProps/app.xml><?xml version="1.0" encoding="utf-8"?>
<Properties xmlns="http://schemas.openxmlformats.org/officeDocument/2006/extended-properties" xmlns:vt="http://schemas.openxmlformats.org/officeDocument/2006/docPropsVTypes">
  <Template>Normal</Template>
  <TotalTime>61</TotalTime>
  <Pages>6</Pages>
  <Words>1383</Words>
  <Characters>8204</Characters>
  <Application>Microsoft Office Word</Application>
  <DocSecurity>0</DocSecurity>
  <Lines>190</Lines>
  <Paragraphs>121</Paragraphs>
  <ScaleCrop>false</ScaleCrop>
  <HeadingPairs>
    <vt:vector size="2" baseType="variant">
      <vt:variant>
        <vt:lpstr>Title</vt:lpstr>
      </vt:variant>
      <vt:variant>
        <vt:i4>1</vt:i4>
      </vt:variant>
    </vt:vector>
  </HeadingPairs>
  <TitlesOfParts>
    <vt:vector size="1" baseType="lpstr">
      <vt:lpstr>Board ERM Dashboard Sample Template 20 01 2026 Upside</vt:lpstr>
    </vt:vector>
  </TitlesOfParts>
  <Manager/>
  <Company>www.upsidesolutions.ca</Company>
  <LinksUpToDate>false</LinksUpToDate>
  <CharactersWithSpaces>9466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ERM Dashboard Sample Template 20 01 2026 Upside</dc:title>
  <dc:subject>Board ERM Dashboard Sample Template</dc:subject>
  <dc:creator>Nicole Stinson</dc:creator>
  <cp:keywords>board report ERM enterprise risk management</cp:keywords>
  <dc:description>Prepared by Upside Solutions Inc 2026
Part of the ERM Guide and Toolkit for BC school districts</dc:description>
  <cp:lastModifiedBy>Renee Volovich</cp:lastModifiedBy>
  <cp:revision>115</cp:revision>
  <dcterms:created xsi:type="dcterms:W3CDTF">2026-01-21T02:30:00Z</dcterms:created>
  <dcterms:modified xsi:type="dcterms:W3CDTF">2026-02-06T23:36:00Z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0x010100E18329ACA990FA48830499E93E3D86CF</vt:lpwstr>
  </property>
</Properties>
</file>